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cs="宋体"/>
          <w:b/>
          <w:color w:val="auto"/>
          <w:spacing w:val="20"/>
          <w:sz w:val="48"/>
          <w:szCs w:val="48"/>
          <w:highlight w:val="none"/>
          <w:lang w:eastAsia="zh-CN"/>
        </w:rPr>
      </w:pPr>
      <w:r>
        <w:rPr>
          <w:rFonts w:hint="eastAsia" w:ascii="宋体" w:hAnsi="宋体" w:cs="宋体"/>
          <w:b/>
          <w:color w:val="auto"/>
          <w:spacing w:val="20"/>
          <w:sz w:val="48"/>
          <w:szCs w:val="48"/>
          <w:highlight w:val="none"/>
        </w:rPr>
        <w:t xml:space="preserve">  </w:t>
      </w:r>
      <w:r>
        <w:rPr>
          <w:rFonts w:hint="eastAsia" w:ascii="宋体" w:hAnsi="宋体" w:cs="宋体"/>
          <w:b/>
          <w:color w:val="auto"/>
          <w:spacing w:val="20"/>
          <w:sz w:val="48"/>
          <w:szCs w:val="48"/>
          <w:highlight w:val="none"/>
          <w:lang w:eastAsia="zh-CN"/>
        </w:rPr>
        <w:t xml:space="preserve">南通大学附属医院东院区</w:t>
      </w:r>
      <w:r/>
    </w:p>
    <w:p>
      <w:pPr>
        <w:jc w:val="center"/>
        <w:spacing w:line="1000" w:lineRule="exact"/>
        <w:rPr>
          <w:rFonts w:ascii="宋体" w:hAnsi="宋体" w:cs="宋体"/>
          <w:b/>
          <w:color w:val="auto"/>
          <w:spacing w:val="20"/>
          <w:sz w:val="48"/>
          <w:szCs w:val="48"/>
          <w:highlight w:val="none"/>
        </w:rPr>
      </w:pPr>
      <w:r>
        <w:rPr>
          <w:rFonts w:hint="eastAsia" w:ascii="宋体" w:hAnsi="宋体" w:cs="宋体"/>
          <w:b/>
          <w:color w:val="auto"/>
          <w:spacing w:val="20"/>
          <w:sz w:val="48"/>
          <w:szCs w:val="48"/>
          <w:highlight w:val="none"/>
          <w:lang w:eastAsia="zh-CN"/>
        </w:rPr>
        <w:t xml:space="preserve">密集架采购项目</w:t>
      </w:r>
      <w:r>
        <w:rPr>
          <w:rFonts w:hint="eastAsia" w:ascii="宋体" w:hAnsi="宋体" w:cs="宋体"/>
          <w:b/>
          <w:color w:val="auto"/>
          <w:spacing w:val="20"/>
          <w:sz w:val="48"/>
          <w:szCs w:val="48"/>
          <w:highlight w:val="none"/>
        </w:rPr>
        <w:t xml:space="preserve"> </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pPr>
      <w:r>
        <w:rPr>
          <w:rFonts w:hint="eastAsia" w:ascii="宋体" w:hAnsi="宋体" w:cs="宋体"/>
          <w:bCs/>
          <w:color w:val="auto"/>
          <w:sz w:val="100"/>
          <w:szCs w:val="100"/>
          <w:highlight w:val="none"/>
        </w:rPr>
        <w:t xml:space="preserve">政府采购招标文件</w:t>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招标文件编号：JSZC-320600-ZRJS-G2025-0092</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ind w:right="120"/>
        <w:jc w:val="center"/>
        <w:spacing w:before="120" w:after="120" w:line="500" w:lineRule="exac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招</w:t>
      </w:r>
      <w:r>
        <w:rPr>
          <w:rFonts w:hint="eastAsia" w:ascii="宋体" w:hAnsi="宋体" w:eastAsia="宋体" w:cs="宋体"/>
          <w:b/>
          <w:bCs/>
          <w:color w:val="auto"/>
          <w:sz w:val="32"/>
          <w:highlight w:val="none"/>
        </w:rPr>
        <w:t xml:space="preserve">标人：</w:t>
      </w:r>
      <w:r>
        <w:rPr>
          <w:rFonts w:hint="eastAsia" w:ascii="宋体" w:hAnsi="宋体" w:cs="宋体"/>
          <w:b/>
          <w:bCs/>
          <w:color w:val="auto"/>
          <w:sz w:val="32"/>
          <w:highlight w:val="none"/>
          <w:lang w:eastAsia="zh-CN"/>
        </w:rPr>
        <w:t xml:space="preserve">南通大学附属医院</w:t>
      </w:r>
      <w:r/>
    </w:p>
    <w:p>
      <w:pPr>
        <w:ind w:right="120"/>
        <w:jc w:val="center"/>
        <w:spacing w:before="120" w:after="120" w:line="50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招标代理机构：江苏中润工程建设咨询有限公司</w:t>
      </w:r>
      <w:r/>
    </w:p>
    <w:p>
      <w:pPr>
        <w:ind w:right="120"/>
        <w:jc w:val="center"/>
        <w:spacing w:before="120" w:after="120" w:line="50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2025年</w:t>
      </w:r>
      <w:r>
        <w:rPr>
          <w:rFonts w:hint="eastAsia" w:ascii="宋体" w:hAnsi="宋体" w:cs="宋体"/>
          <w:b/>
          <w:bCs/>
          <w:color w:val="auto"/>
          <w:sz w:val="32"/>
          <w:highlight w:val="none"/>
          <w:lang w:val="en-US" w:eastAsia="zh-CN"/>
        </w:rPr>
        <w:t xml:space="preserve">10</w:t>
      </w:r>
      <w:r>
        <w:rPr>
          <w:rFonts w:hint="eastAsia" w:ascii="宋体" w:hAnsi="宋体" w:eastAsia="宋体" w:cs="宋体"/>
          <w:b/>
          <w:bCs/>
          <w:color w:val="auto"/>
          <w:sz w:val="32"/>
          <w:highlight w:val="none"/>
        </w:rPr>
        <w:t xml:space="preserve">月</w:t>
      </w:r>
      <w:r/>
    </w:p>
    <w:p>
      <w:pPr>
        <w:pStyle w:val="1002"/>
        <w:rPr>
          <w:rFonts w:ascii="宋体" w:hAnsi="宋体" w:eastAsia="宋体" w:cs="宋体"/>
          <w:color w:val="auto"/>
          <w:sz w:val="32"/>
          <w:highlight w:val="none"/>
        </w:rPr>
      </w:pPr>
      <w:r>
        <w:rPr>
          <w:rFonts w:ascii="宋体" w:hAnsi="宋体" w:eastAsia="宋体" w:cs="宋体"/>
          <w:color w:val="auto"/>
          <w:sz w:val="32"/>
          <w:highlight w:val="none"/>
        </w:rPr>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ind w:firstLine="640"/>
        <w:spacing w:line="1000" w:lineRule="exact"/>
        <w:tabs>
          <w:tab w:val="left" w:pos="7740" w:leader="none"/>
        </w:tabs>
        <w:rPr>
          <w:color w:val="auto"/>
          <w:spacing w:val="2"/>
          <w:sz w:val="32"/>
          <w:szCs w:val="32"/>
          <w:highlight w:val="none"/>
        </w:rPr>
      </w:pPr>
      <w:r>
        <w:rPr>
          <w:bCs/>
          <w:color w:val="auto"/>
          <w:sz w:val="32"/>
          <w:szCs w:val="32"/>
          <w:highlight w:val="none"/>
        </w:rPr>
        <w:t xml:space="preserve">第一部分  投标邀请.................</w:t>
      </w:r>
      <w:r>
        <w:rPr>
          <w:rFonts w:hint="eastAsia"/>
          <w:bCs/>
          <w:color w:val="auto"/>
          <w:sz w:val="32"/>
          <w:szCs w:val="32"/>
          <w:highlight w:val="none"/>
        </w:rPr>
        <w:t xml:space="preserve">..............................</w:t>
      </w:r>
      <w:r>
        <w:rPr>
          <w:bCs/>
          <w:color w:val="auto"/>
          <w:sz w:val="32"/>
          <w:szCs w:val="32"/>
          <w:highlight w:val="none"/>
        </w:rPr>
        <w:t xml:space="preserve">........01</w:t>
      </w:r>
      <w:r/>
    </w:p>
    <w:p>
      <w:pPr>
        <w:ind w:firstLine="640"/>
        <w:spacing w:line="1000" w:lineRule="exact"/>
        <w:tabs>
          <w:tab w:val="left" w:pos="7740" w:leader="none"/>
        </w:tabs>
        <w:rPr>
          <w:color w:val="auto"/>
          <w:spacing w:val="2"/>
          <w:sz w:val="32"/>
          <w:szCs w:val="32"/>
          <w:highlight w:val="none"/>
        </w:rPr>
      </w:pPr>
      <w:r>
        <w:rPr>
          <w:bCs/>
          <w:color w:val="auto"/>
          <w:sz w:val="32"/>
          <w:szCs w:val="32"/>
          <w:highlight w:val="none"/>
        </w:rPr>
        <w:t xml:space="preserve">第二部分  投标须知...................</w:t>
      </w:r>
      <w:r>
        <w:rPr>
          <w:rFonts w:hint="eastAsia"/>
          <w:bCs/>
          <w:color w:val="auto"/>
          <w:sz w:val="32"/>
          <w:szCs w:val="32"/>
          <w:highlight w:val="none"/>
        </w:rPr>
        <w:t xml:space="preserve">..............................</w:t>
      </w:r>
      <w:r>
        <w:rPr>
          <w:bCs/>
          <w:color w:val="auto"/>
          <w:sz w:val="32"/>
          <w:szCs w:val="32"/>
          <w:highlight w:val="none"/>
        </w:rPr>
        <w:t xml:space="preserve">......0</w:t>
      </w:r>
      <w:r>
        <w:rPr>
          <w:rFonts w:hint="eastAsia"/>
          <w:bCs/>
          <w:color w:val="auto"/>
          <w:sz w:val="32"/>
          <w:szCs w:val="32"/>
          <w:highlight w:val="none"/>
        </w:rPr>
        <w:t xml:space="preserve">5</w:t>
      </w:r>
      <w:r/>
    </w:p>
    <w:p>
      <w:pPr>
        <w:ind w:firstLine="640"/>
        <w:spacing w:line="1000" w:lineRule="exact"/>
        <w:tabs>
          <w:tab w:val="left" w:pos="7740" w:leader="none"/>
        </w:tabs>
        <w:rPr>
          <w:color w:val="auto"/>
          <w:spacing w:val="2"/>
          <w:sz w:val="32"/>
          <w:szCs w:val="32"/>
          <w:highlight w:val="none"/>
        </w:rPr>
      </w:pPr>
      <w:r>
        <w:rPr>
          <w:bCs/>
          <w:color w:val="auto"/>
          <w:sz w:val="32"/>
          <w:szCs w:val="32"/>
          <w:highlight w:val="none"/>
        </w:rPr>
        <w:t xml:space="preserve">第三部分  项目需求.................</w:t>
      </w:r>
      <w:r>
        <w:rPr>
          <w:rFonts w:hint="eastAsia"/>
          <w:bCs/>
          <w:color w:val="auto"/>
          <w:sz w:val="32"/>
          <w:szCs w:val="32"/>
          <w:highlight w:val="none"/>
        </w:rPr>
        <w:t xml:space="preserve">..............................</w:t>
      </w:r>
      <w:r>
        <w:rPr>
          <w:bCs/>
          <w:color w:val="auto"/>
          <w:sz w:val="32"/>
          <w:szCs w:val="32"/>
          <w:highlight w:val="none"/>
        </w:rPr>
        <w:t xml:space="preserve">........</w:t>
      </w:r>
      <w:r>
        <w:rPr>
          <w:rFonts w:hint="eastAsia"/>
          <w:bCs/>
          <w:color w:val="auto"/>
          <w:sz w:val="32"/>
          <w:szCs w:val="32"/>
          <w:highlight w:val="none"/>
        </w:rPr>
        <w:t xml:space="preserve">19</w:t>
      </w:r>
      <w:r/>
    </w:p>
    <w:p>
      <w:pPr>
        <w:ind w:firstLine="640"/>
        <w:spacing w:line="1000" w:lineRule="exact"/>
        <w:tabs>
          <w:tab w:val="left" w:pos="7740" w:leader="none"/>
        </w:tabs>
        <w:rPr>
          <w:color w:val="auto"/>
          <w:spacing w:val="2"/>
          <w:sz w:val="32"/>
          <w:szCs w:val="32"/>
          <w:highlight w:val="none"/>
        </w:rPr>
      </w:pPr>
      <w:r>
        <w:rPr>
          <w:color w:val="auto"/>
          <w:sz w:val="32"/>
          <w:szCs w:val="32"/>
          <w:highlight w:val="none"/>
        </w:rPr>
        <w:t xml:space="preserve">第四部分  </w:t>
      </w:r>
      <w:r>
        <w:rPr>
          <w:bCs/>
          <w:color w:val="auto"/>
          <w:sz w:val="32"/>
          <w:szCs w:val="32"/>
          <w:highlight w:val="none"/>
        </w:rPr>
        <w:t xml:space="preserve">开标和评标...............</w:t>
      </w:r>
      <w:r>
        <w:rPr>
          <w:rFonts w:hint="eastAsia"/>
          <w:bCs/>
          <w:color w:val="auto"/>
          <w:sz w:val="32"/>
          <w:szCs w:val="32"/>
          <w:highlight w:val="none"/>
        </w:rPr>
        <w:t xml:space="preserve">............................</w:t>
      </w:r>
      <w:r>
        <w:rPr>
          <w:bCs/>
          <w:color w:val="auto"/>
          <w:sz w:val="32"/>
          <w:szCs w:val="32"/>
          <w:highlight w:val="none"/>
        </w:rPr>
        <w:t xml:space="preserve">........</w:t>
      </w:r>
      <w:r>
        <w:rPr>
          <w:rFonts w:hint="eastAsia"/>
          <w:bCs/>
          <w:color w:val="auto"/>
          <w:sz w:val="32"/>
          <w:szCs w:val="32"/>
          <w:highlight w:val="none"/>
        </w:rPr>
        <w:t xml:space="preserve">45</w:t>
      </w:r>
      <w:r/>
    </w:p>
    <w:p>
      <w:pPr>
        <w:ind w:firstLine="640"/>
        <w:spacing w:line="1000" w:lineRule="exact"/>
        <w:tabs>
          <w:tab w:val="left" w:pos="7740" w:leader="none"/>
        </w:tabs>
        <w:rPr>
          <w:bCs/>
          <w:color w:val="auto"/>
          <w:sz w:val="32"/>
          <w:szCs w:val="32"/>
          <w:highlight w:val="none"/>
        </w:rPr>
      </w:pPr>
      <w:r>
        <w:rPr>
          <w:bCs/>
          <w:color w:val="auto"/>
          <w:sz w:val="32"/>
          <w:szCs w:val="32"/>
          <w:highlight w:val="none"/>
        </w:rPr>
        <w:t xml:space="preserve">第五部分  质疑与投诉...............</w:t>
      </w:r>
      <w:r>
        <w:rPr>
          <w:rFonts w:hint="eastAsia"/>
          <w:bCs/>
          <w:color w:val="auto"/>
          <w:sz w:val="32"/>
          <w:szCs w:val="32"/>
          <w:highlight w:val="none"/>
        </w:rPr>
        <w:t xml:space="preserve">............................</w:t>
      </w:r>
      <w:r>
        <w:rPr>
          <w:bCs/>
          <w:color w:val="auto"/>
          <w:sz w:val="32"/>
          <w:szCs w:val="32"/>
          <w:highlight w:val="none"/>
        </w:rPr>
        <w:t xml:space="preserve">........</w:t>
      </w:r>
      <w:r>
        <w:rPr>
          <w:rFonts w:hint="eastAsia"/>
          <w:bCs/>
          <w:color w:val="auto"/>
          <w:sz w:val="32"/>
          <w:szCs w:val="32"/>
          <w:highlight w:val="none"/>
        </w:rPr>
        <w:t xml:space="preserve">50</w:t>
      </w:r>
      <w:r/>
    </w:p>
    <w:p>
      <w:pPr>
        <w:ind w:firstLine="640"/>
        <w:spacing w:line="1000" w:lineRule="exact"/>
        <w:tabs>
          <w:tab w:val="left" w:pos="7740" w:leader="none"/>
        </w:tabs>
        <w:rPr>
          <w:color w:val="auto"/>
          <w:spacing w:val="2"/>
          <w:sz w:val="32"/>
          <w:szCs w:val="32"/>
          <w:highlight w:val="none"/>
        </w:rPr>
      </w:pPr>
      <w:r>
        <w:rPr>
          <w:bCs/>
          <w:color w:val="auto"/>
          <w:sz w:val="32"/>
          <w:szCs w:val="32"/>
          <w:highlight w:val="none"/>
        </w:rPr>
        <w:t xml:space="preserve">第六部分  投标文件组成.........</w:t>
      </w:r>
      <w:r>
        <w:rPr>
          <w:rFonts w:hint="eastAsia"/>
          <w:bCs/>
          <w:color w:val="auto"/>
          <w:sz w:val="32"/>
          <w:szCs w:val="32"/>
          <w:highlight w:val="none"/>
        </w:rPr>
        <w:t xml:space="preserve">..........................</w:t>
      </w:r>
      <w:r>
        <w:rPr>
          <w:bCs/>
          <w:color w:val="auto"/>
          <w:sz w:val="32"/>
          <w:szCs w:val="32"/>
          <w:highlight w:val="none"/>
        </w:rPr>
        <w:t xml:space="preserve">............</w:t>
      </w:r>
      <w:r>
        <w:rPr>
          <w:rFonts w:hint="eastAsia"/>
          <w:bCs/>
          <w:color w:val="auto"/>
          <w:sz w:val="32"/>
          <w:szCs w:val="32"/>
          <w:highlight w:val="none"/>
        </w:rPr>
        <w:t xml:space="preserve">54</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Cs/>
          <w:color w:val="auto"/>
          <w:sz w:val="36"/>
          <w:szCs w:val="36"/>
          <w:highlight w:val="none"/>
        </w:rPr>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ascii="宋体" w:hAnsi="宋体" w:cs="宋体"/>
          <w:bCs/>
          <w:color w:val="auto"/>
          <w:sz w:val="36"/>
          <w:szCs w:val="36"/>
          <w:highlight w:val="none"/>
        </w:rPr>
      </w:r>
      <w:r/>
    </w:p>
    <w:p>
      <w:pPr>
        <w:jc w:val="center"/>
        <w:spacing w:line="360" w:lineRule="auto"/>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  </w:t>
      </w:r>
      <w:bookmarkStart w:id="0" w:name="OLE_LINK7"/>
      <w:r/>
      <w:bookmarkStart w:id="1" w:name="OLE_LINK5"/>
      <w:r>
        <w:rPr>
          <w:rFonts w:hint="eastAsia" w:ascii="宋体" w:hAnsi="宋体" w:cs="宋体"/>
          <w:bCs/>
          <w:color w:val="auto"/>
          <w:sz w:val="36"/>
          <w:szCs w:val="36"/>
          <w:highlight w:val="none"/>
        </w:rPr>
        <w:t xml:space="preserve">投标邀请</w:t>
      </w:r>
      <w:r/>
    </w:p>
    <w:p>
      <w:pPr>
        <w:ind w:firstLine="560"/>
        <w:spacing w:line="460" w:lineRule="exact"/>
        <w:rPr>
          <w:rFonts w:ascii="宋体" w:hAnsi="宋体" w:cs="宋体"/>
          <w:color w:val="auto"/>
          <w:sz w:val="28"/>
          <w:szCs w:val="28"/>
          <w:highlight w:val="none"/>
        </w:rPr>
      </w:pPr>
      <w:r/>
      <w:bookmarkStart w:id="2"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南通大学附属医院</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南通大学附属医院东院区密集架采购项目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JSZC-320600-ZRJS-G2025-0092</w:t>
      </w:r>
      <w:r>
        <w:rPr>
          <w:rFonts w:hint="eastAsia" w:ascii="宋体" w:hAnsi="宋体" w:cs="宋体"/>
          <w:color w:val="auto"/>
          <w:sz w:val="28"/>
          <w:szCs w:val="28"/>
          <w:highlight w:val="none"/>
        </w:rPr>
        <w:t xml:space="preserve">)进行公开招标采购，欢迎符合条件的投标人投标。</w:t>
      </w:r>
      <w:r/>
    </w:p>
    <w:p>
      <w:pPr>
        <w:spacing w:line="46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6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南通大学附属医院东院区密集架采购</w:t>
      </w:r>
      <w:r>
        <w:rPr>
          <w:rFonts w:hint="eastAsia" w:ascii="宋体" w:hAnsi="宋体" w:cs="宋体"/>
          <w:color w:val="auto"/>
          <w:sz w:val="28"/>
          <w:szCs w:val="28"/>
          <w:highlight w:val="none"/>
        </w:rPr>
        <w:t xml:space="preserve">）招标项目的潜在投标人应在（苏采云系统内免费）获取招标文件，并于2025年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  20</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分（北京时间）前递交投标文件。</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60" w:lineRule="exact"/>
        <w:rPr>
          <w:rFonts w:hint="eastAsia" w:ascii="宋体" w:hAnsi="宋体" w:eastAsia="宋体" w:cs="宋体"/>
          <w:color w:val="auto"/>
          <w:spacing w:val="7"/>
          <w:sz w:val="28"/>
          <w:szCs w:val="22"/>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JSZC-320600-ZRJS-G2025-0092</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南通大学附属医院东院区密集架采购项目</w:t>
      </w:r>
      <w:r>
        <w:rPr>
          <w:rFonts w:hint="eastAsia" w:ascii="宋体" w:hAnsi="宋体" w:cs="宋体"/>
          <w:color w:val="auto"/>
          <w:sz w:val="28"/>
          <w:szCs w:val="28"/>
          <w:highlight w:val="none"/>
        </w:rPr>
        <w:t xml:space="preserve"> </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3.预算金额：</w:t>
      </w:r>
      <w:r>
        <w:rPr>
          <w:rFonts w:hint="eastAsia" w:ascii="宋体" w:hAnsi="宋体" w:cs="宋体"/>
          <w:color w:val="auto"/>
          <w:sz w:val="28"/>
          <w:szCs w:val="28"/>
          <w:highlight w:val="none"/>
          <w:lang w:val="en-US" w:eastAsia="zh-CN"/>
        </w:rPr>
        <w:t xml:space="preserve">117</w:t>
      </w:r>
      <w:r>
        <w:rPr>
          <w:rFonts w:hint="eastAsia" w:ascii="宋体" w:hAnsi="宋体" w:cs="宋体"/>
          <w:color w:val="auto"/>
          <w:sz w:val="28"/>
          <w:szCs w:val="28"/>
          <w:highlight w:val="none"/>
        </w:rPr>
        <w:t xml:space="preserve">万元。</w:t>
      </w:r>
      <w:r/>
    </w:p>
    <w:p>
      <w:pPr>
        <w:pStyle w:val="969"/>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4.最高限价：</w:t>
      </w:r>
      <w:r>
        <w:rPr>
          <w:rFonts w:hint="eastAsia" w:ascii="宋体" w:hAnsi="宋体" w:eastAsia="宋体" w:cs="宋体"/>
          <w:color w:val="auto"/>
          <w:sz w:val="28"/>
          <w:szCs w:val="28"/>
          <w:highlight w:val="none"/>
          <w:lang w:val="en-US" w:eastAsia="zh-CN"/>
        </w:rPr>
        <w:t xml:space="preserve">117</w:t>
      </w:r>
      <w:r>
        <w:rPr>
          <w:rFonts w:hint="eastAsia" w:ascii="宋体" w:hAnsi="宋体" w:eastAsia="宋体" w:cs="宋体"/>
          <w:color w:val="auto"/>
          <w:sz w:val="28"/>
          <w:szCs w:val="28"/>
          <w:highlight w:val="none"/>
        </w:rPr>
        <w:t xml:space="preserve">万元，投标报价高于最高限价的作无效响应处理。</w:t>
      </w:r>
      <w:r/>
    </w:p>
    <w:p>
      <w:pPr>
        <w:pStyle w:val="969"/>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5.采购需求：详见招标文件，请仔细研究。</w:t>
      </w:r>
      <w:r/>
    </w:p>
    <w:p>
      <w:pPr>
        <w:pStyle w:val="969"/>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6.交货期：自合同签订之日起</w:t>
      </w:r>
      <w:r>
        <w:rPr>
          <w:rFonts w:hint="eastAsia" w:ascii="宋体" w:hAnsi="宋体" w:eastAsia="宋体" w:cs="宋体"/>
          <w:color w:val="auto"/>
          <w:sz w:val="28"/>
          <w:szCs w:val="28"/>
          <w:highlight w:val="none"/>
          <w:lang w:val="en-US" w:eastAsia="zh-CN"/>
        </w:rPr>
        <w:t xml:space="preserve">60</w:t>
      </w:r>
      <w:r>
        <w:rPr>
          <w:rFonts w:hint="eastAsia" w:ascii="宋体" w:hAnsi="宋体" w:eastAsia="宋体" w:cs="宋体"/>
          <w:color w:val="auto"/>
          <w:sz w:val="28"/>
          <w:szCs w:val="28"/>
          <w:highlight w:val="none"/>
        </w:rPr>
        <w:t xml:space="preserve">日历天内</w:t>
      </w:r>
      <w:r>
        <w:rPr>
          <w:rFonts w:hint="eastAsia" w:ascii="宋体" w:hAnsi="宋体" w:eastAsia="宋体" w:cs="宋体"/>
          <w:color w:val="auto"/>
          <w:sz w:val="28"/>
          <w:szCs w:val="28"/>
          <w:highlight w:val="none"/>
          <w:lang w:val="zh-CN"/>
        </w:rPr>
        <w:t xml:space="preserve">供货安装调试完毕并交付使用</w:t>
      </w:r>
      <w:r>
        <w:rPr>
          <w:rFonts w:hint="eastAsia" w:ascii="宋体" w:hAnsi="宋体" w:eastAsia="宋体" w:cs="宋体"/>
          <w:color w:val="auto"/>
          <w:sz w:val="28"/>
          <w:szCs w:val="28"/>
          <w:highlight w:val="none"/>
        </w:rPr>
        <w:t xml:space="preserve">。</w:t>
      </w:r>
      <w:r/>
    </w:p>
    <w:p>
      <w:pPr>
        <w:pStyle w:val="969"/>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7.本项目不接受联合体投标。</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二、申请人的资格要求</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（1）具有独立承担民事责任的能力；</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（2）具有良好的商业信誉和健全的财务会计制度；</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（3）具有履行合同所必需的设备和专业技术能力；</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（4）有依法缴纳税收和社会保障资金的良好记录；</w:t>
      </w:r>
      <w:r/>
    </w:p>
    <w:p>
      <w:pPr>
        <w:pStyle w:val="969"/>
        <w:ind w:firstLine="560"/>
        <w:spacing w:line="46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u w:val="single"/>
          <w:lang w:eastAsia="zh-CN"/>
        </w:rPr>
        <w:t xml:space="preserve">其中：①依法纳税凭据：提供参加政府采购活动前一段时间内的任一时间依法纳税的凭据，如完税凭证或税务机关开具的完税证明（个人所得税除外）。②缴纳社会保险的凭据：提供参加政府采购活动前一段时间内的任一时间缴纳社会保险的凭据，如专用收据或社会保险缴纳清单。③依法免税或不需要缴纳社会保障资金的证明文件：如果供应商依法免税或不需要缴纳社会保障资金，则须提供相应的证明文件，以说明其免税或无需缴纳的依据和情况。</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（5）参加政府采购活动前三年内，在经营活动中没有重大违法记录；</w:t>
      </w:r>
      <w:r/>
    </w:p>
    <w:p>
      <w:pPr>
        <w:pStyle w:val="969"/>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（6）法律、行政法规规定的其他条件。</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p>
    <w:p>
      <w:pPr>
        <w:ind w:firstLine="56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3.本项目的特定资格要求：</w:t>
      </w:r>
      <w:r>
        <w:rPr>
          <w:rFonts w:hint="eastAsia" w:ascii="宋体" w:hAnsi="宋体" w:cs="宋体"/>
          <w:color w:val="auto"/>
          <w:sz w:val="28"/>
          <w:szCs w:val="28"/>
          <w:highlight w:val="none"/>
          <w:u w:val="single"/>
        </w:rPr>
        <w:t xml:space="preserve">无。</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3.1潜在投标人访问电子招标响应交易平台的网络地址和方法：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3.5招标人或采购代理机构将数据电文形式的招标文件加载至“苏采云”系统，供潜在投标人下载或者查阅。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560"/>
        <w:spacing w:line="460" w:lineRule="exact"/>
        <w:rPr>
          <w:rStyle w:val="1066"/>
          <w:rFonts w:ascii="宋体" w:hAnsi="宋体" w:cs="宋体"/>
          <w:color w:val="auto"/>
          <w:sz w:val="28"/>
          <w:szCs w:val="28"/>
          <w:highlight w:val="none"/>
        </w:rPr>
      </w:pPr>
      <w:r>
        <w:rPr>
          <w:rStyle w:val="1066"/>
          <w:rFonts w:hint="eastAsia" w:ascii="宋体" w:hAnsi="宋体" w:cs="宋体"/>
          <w:color w:val="auto"/>
          <w:sz w:val="28"/>
          <w:szCs w:val="28"/>
          <w:highlight w:val="none"/>
        </w:rPr>
        <w:t xml:space="preserve">1.投标文件接收截止及开标时间：</w:t>
      </w:r>
      <w:r>
        <w:rPr>
          <w:rStyle w:val="1066"/>
          <w:rFonts w:hint="eastAsia" w:ascii="宋体" w:hAnsi="宋体" w:cs="宋体"/>
          <w:b/>
          <w:bCs/>
          <w:color w:val="auto"/>
          <w:sz w:val="28"/>
          <w:szCs w:val="28"/>
          <w:highlight w:val="none"/>
        </w:rPr>
        <w:t xml:space="preserve">2025年</w:t>
      </w:r>
      <w:r>
        <w:rPr>
          <w:rStyle w:val="1066"/>
          <w:rFonts w:hint="eastAsia" w:ascii="宋体" w:hAnsi="宋体" w:cs="宋体"/>
          <w:b/>
          <w:bCs/>
          <w:color w:val="auto"/>
          <w:sz w:val="28"/>
          <w:szCs w:val="28"/>
          <w:highlight w:val="none"/>
          <w:lang w:val="en-US" w:eastAsia="zh-CN"/>
        </w:rPr>
        <w:t xml:space="preserve">11月20</w:t>
      </w:r>
      <w:r>
        <w:rPr>
          <w:rStyle w:val="1066"/>
          <w:rFonts w:hint="eastAsia" w:ascii="宋体" w:hAnsi="宋体" w:cs="宋体"/>
          <w:b/>
          <w:bCs/>
          <w:color w:val="auto"/>
          <w:sz w:val="28"/>
          <w:szCs w:val="28"/>
          <w:highlight w:val="none"/>
        </w:rPr>
        <w:t xml:space="preserve">日</w:t>
      </w:r>
      <w:r>
        <w:rPr>
          <w:rStyle w:val="1066"/>
          <w:rFonts w:hint="eastAsia" w:ascii="宋体" w:hAnsi="宋体" w:cs="宋体"/>
          <w:b/>
          <w:bCs/>
          <w:color w:val="auto"/>
          <w:sz w:val="28"/>
          <w:szCs w:val="28"/>
          <w:highlight w:val="none"/>
          <w:lang w:val="en-US" w:eastAsia="zh-CN"/>
        </w:rPr>
        <w:t xml:space="preserve">14</w:t>
      </w:r>
      <w:r>
        <w:rPr>
          <w:rStyle w:val="1066"/>
          <w:rFonts w:hint="eastAsia" w:ascii="宋体" w:hAnsi="宋体" w:cs="宋体"/>
          <w:b/>
          <w:bCs/>
          <w:color w:val="auto"/>
          <w:sz w:val="28"/>
          <w:szCs w:val="28"/>
          <w:highlight w:val="none"/>
        </w:rPr>
        <w:t xml:space="preserve">点</w:t>
      </w:r>
      <w:r>
        <w:rPr>
          <w:rStyle w:val="1066"/>
          <w:rFonts w:hint="eastAsia" w:ascii="宋体" w:hAnsi="宋体" w:cs="宋体"/>
          <w:b/>
          <w:bCs/>
          <w:color w:val="auto"/>
          <w:sz w:val="28"/>
          <w:szCs w:val="28"/>
          <w:highlight w:val="none"/>
          <w:lang w:val="en-US" w:eastAsia="zh-CN"/>
        </w:rPr>
        <w:t xml:space="preserve">00</w:t>
      </w:r>
      <w:r>
        <w:rPr>
          <w:rStyle w:val="1066"/>
          <w:rFonts w:hint="eastAsia" w:ascii="宋体" w:hAnsi="宋体" w:cs="宋体"/>
          <w:b/>
          <w:bCs/>
          <w:color w:val="auto"/>
          <w:sz w:val="28"/>
          <w:szCs w:val="28"/>
          <w:highlight w:val="none"/>
        </w:rPr>
        <w:t xml:space="preserve">分（北京时间）</w:t>
      </w:r>
      <w:r>
        <w:rPr>
          <w:rStyle w:val="1066"/>
          <w:rFonts w:hint="eastAsia" w:ascii="宋体" w:hAnsi="宋体" w:cs="宋体"/>
          <w:color w:val="auto"/>
          <w:sz w:val="28"/>
          <w:szCs w:val="28"/>
          <w:highlight w:val="none"/>
        </w:rPr>
        <w:t xml:space="preserve">，逾时“苏采云”系统将拒绝接受上传投标文件电子文档。</w:t>
      </w:r>
      <w:r/>
    </w:p>
    <w:p>
      <w:pPr>
        <w:ind w:firstLine="560"/>
        <w:spacing w:line="460" w:lineRule="exact"/>
        <w:rPr>
          <w:rStyle w:val="1066"/>
          <w:rFonts w:ascii="宋体" w:hAnsi="宋体" w:cs="宋体"/>
          <w:color w:val="auto"/>
          <w:sz w:val="28"/>
          <w:szCs w:val="28"/>
          <w:highlight w:val="none"/>
          <w:lang w:eastAsia="en-US"/>
        </w:rPr>
      </w:pPr>
      <w:r>
        <w:rPr>
          <w:rStyle w:val="1066"/>
          <w:rFonts w:hint="eastAsia" w:ascii="宋体" w:hAnsi="宋体" w:cs="宋体"/>
          <w:color w:val="auto"/>
          <w:sz w:val="28"/>
          <w:szCs w:val="28"/>
          <w:highlight w:val="none"/>
          <w:lang w:eastAsia="en-US"/>
        </w:rPr>
        <w:t xml:space="preserve">2.地点：“苏采云”系统（网址：http://jszfcg.jsczt.cn/）</w:t>
      </w:r>
      <w:r>
        <w:rPr>
          <w:rFonts w:hint="eastAsia" w:ascii="宋体" w:hAnsi="宋体" w:cs="宋体"/>
          <w:color w:val="auto"/>
          <w:sz w:val="28"/>
          <w:szCs w:val="28"/>
          <w:highlight w:val="none"/>
        </w:rPr>
        <w:t xml:space="preserve">。</w:t>
      </w:r>
      <w:r/>
    </w:p>
    <w:p>
      <w:pPr>
        <w:ind w:firstLine="560"/>
        <w:spacing w:line="460" w:lineRule="exact"/>
        <w:rPr>
          <w:rStyle w:val="1066"/>
          <w:rFonts w:ascii="宋体" w:hAnsi="宋体" w:cs="宋体"/>
          <w:color w:val="auto"/>
          <w:sz w:val="28"/>
          <w:szCs w:val="28"/>
          <w:highlight w:val="none"/>
          <w:u w:val="single"/>
        </w:rPr>
      </w:pPr>
      <w:r>
        <w:rPr>
          <w:rStyle w:val="1066"/>
          <w:rFonts w:hint="eastAsia" w:ascii="宋体" w:hAnsi="宋体" w:cs="宋体"/>
          <w:color w:val="auto"/>
          <w:sz w:val="28"/>
          <w:szCs w:val="28"/>
          <w:highlight w:val="none"/>
        </w:rPr>
        <w:t xml:space="preserve">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066"/>
          <w:rFonts w:hint="eastAsia" w:ascii="宋体" w:hAnsi="宋体" w:cs="宋体"/>
          <w:b/>
          <w:bCs/>
          <w:color w:val="auto"/>
          <w:sz w:val="28"/>
          <w:szCs w:val="28"/>
          <w:highlight w:val="none"/>
        </w:rPr>
        <w:t xml:space="preserve">投标人解密限定在开标后30分钟之内完成</w:t>
      </w:r>
      <w:r>
        <w:rPr>
          <w:rStyle w:val="1066"/>
          <w:rFonts w:hint="eastAsia" w:ascii="宋体" w:hAnsi="宋体" w:cs="宋体"/>
          <w:color w:val="auto"/>
          <w:sz w:val="28"/>
          <w:szCs w:val="28"/>
          <w:highlight w:val="none"/>
        </w:rPr>
        <w:t xml:space="preserve">。</w:t>
      </w:r>
      <w:r>
        <w:rPr>
          <w:rStyle w:val="1066"/>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rPr>
          <w:rFonts w:hint="eastAsia" w:ascii="宋体" w:hAnsi="宋体" w:cs="宋体"/>
          <w:i/>
          <w:iCs/>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3.样品：</w:t>
      </w:r>
      <w:r>
        <w:rPr>
          <w:rFonts w:hint="eastAsia" w:ascii="宋体" w:hAnsi="宋体" w:cs="宋体"/>
          <w:color w:val="auto"/>
          <w:sz w:val="28"/>
          <w:szCs w:val="28"/>
          <w:highlight w:val="none"/>
          <w:lang w:eastAsia="zh-CN"/>
        </w:rPr>
        <w:t xml:space="preserve">详见采购文件</w:t>
      </w:r>
      <w:r>
        <w:rPr>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4.对项目需求部分（投标人资格要求、项目需求、商务技术评分标准）的询问、质疑请向招标人提出，由招标人负责答复；对项目招标文件其他部分的询问请向代理机构经办人提出。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560"/>
        <w:spacing w:line="460" w:lineRule="exact"/>
        <w:rPr>
          <w:rFonts w:ascii="宋体" w:hAnsi="宋体" w:cs="宋体"/>
          <w:color w:val="auto"/>
          <w:sz w:val="28"/>
          <w:szCs w:val="28"/>
          <w:highlight w:val="none"/>
        </w:rPr>
      </w:pPr>
      <w:r/>
      <w:bookmarkStart w:id="3" w:name="_Toc35393807"/>
      <w:r/>
      <w:bookmarkStart w:id="4" w:name="_Toc28359020"/>
      <w:r/>
      <w:bookmarkStart w:id="5" w:name="_Toc28359097"/>
      <w:r/>
      <w:bookmarkStart w:id="6" w:name="_Toc35393638"/>
      <w:r>
        <w:rPr>
          <w:rFonts w:hint="eastAsia" w:ascii="宋体" w:hAnsi="宋体" w:cs="宋体"/>
          <w:color w:val="auto"/>
          <w:sz w:val="28"/>
          <w:szCs w:val="28"/>
          <w:highlight w:val="none"/>
        </w:rPr>
        <w:t xml:space="preserve">1.招标人信息</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南通大学附属医院</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地址：南通市西寺路20号  </w:t>
      </w:r>
      <w:r/>
    </w:p>
    <w:p>
      <w:pPr>
        <w:ind w:firstLine="560"/>
        <w:jc w:val="left"/>
        <w:spacing w:line="460" w:lineRule="exact"/>
        <w:shd w:val="clear" w:color="auto" w:fill="ffffff"/>
        <w:widowControl/>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联系人：施老师、</w:t>
      </w:r>
      <w:r>
        <w:rPr>
          <w:rFonts w:hint="eastAsia" w:ascii="宋体" w:hAnsi="宋体" w:cs="宋体"/>
          <w:color w:val="auto"/>
          <w:spacing w:val="7"/>
          <w:sz w:val="28"/>
          <w:szCs w:val="28"/>
          <w:highlight w:val="none"/>
          <w:lang w:eastAsia="zh-CN"/>
        </w:rPr>
        <w:t xml:space="preserve">张</w:t>
      </w:r>
      <w:r>
        <w:rPr>
          <w:rFonts w:hint="eastAsia" w:ascii="宋体" w:hAnsi="宋体" w:cs="宋体"/>
          <w:color w:val="auto"/>
          <w:spacing w:val="7"/>
          <w:sz w:val="28"/>
          <w:szCs w:val="28"/>
          <w:highlight w:val="none"/>
        </w:rPr>
        <w:t xml:space="preserve">老师</w:t>
      </w:r>
      <w:r/>
    </w:p>
    <w:p>
      <w:pPr>
        <w:ind w:firstLine="560"/>
        <w:jc w:val="left"/>
        <w:spacing w:line="460" w:lineRule="exact"/>
        <w:shd w:val="clear" w:color="auto" w:fill="ffffff"/>
        <w:widowControl/>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w:t>
      </w:r>
      <w:r>
        <w:rPr>
          <w:rFonts w:hint="eastAsia" w:ascii="宋体" w:hAnsi="宋体" w:cs="宋体"/>
          <w:color w:val="auto"/>
          <w:spacing w:val="7"/>
          <w:sz w:val="28"/>
          <w:szCs w:val="28"/>
          <w:highlight w:val="none"/>
          <w:lang w:val="en-US" w:eastAsia="zh-CN"/>
        </w:rPr>
        <w:t xml:space="preserve">0513-85052089</w:t>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2.招标代理机构信息</w:t>
      </w:r>
      <w:bookmarkEnd w:id="3"/>
      <w:r/>
      <w:bookmarkEnd w:id="4"/>
      <w:r/>
      <w:bookmarkEnd w:id="5"/>
      <w:r/>
      <w:bookmarkEnd w:id="6"/>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88"/>
        <w:spacing w:line="460" w:lineRule="exact"/>
        <w:shd w:val="clear" w:color="auto" w:fill="ffffff"/>
        <w:rPr>
          <w:rFonts w:ascii="宋体" w:hAnsi="宋体" w:cs="宋体"/>
          <w:color w:val="auto"/>
          <w:spacing w:val="7"/>
          <w:sz w:val="28"/>
          <w:szCs w:val="28"/>
          <w:highlight w:val="none"/>
        </w:rPr>
      </w:pPr>
      <w:r>
        <w:rPr>
          <w:rFonts w:ascii="宋体" w:hAnsi="宋体" w:cs="宋体"/>
          <w:color w:val="auto"/>
          <w:spacing w:val="7"/>
          <w:sz w:val="28"/>
          <w:szCs w:val="28"/>
          <w:highlight w:val="none"/>
        </w:rPr>
      </w:r>
      <w:r/>
    </w:p>
    <w:p>
      <w:pPr>
        <w:ind w:firstLine="588"/>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60" w:lineRule="exact"/>
        <w:shd w:val="clear" w:color="auto" w:fill="ffff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1.公开招标文件</w:t>
      </w:r>
      <w:r/>
    </w:p>
    <w:p>
      <w:pPr>
        <w:ind w:firstLine="588"/>
        <w:spacing w:line="460" w:lineRule="exact"/>
        <w:shd w:val="clear" w:color="auto" w:fill="ffff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2.招标人信用承诺书</w:t>
      </w:r>
      <w:r/>
    </w:p>
    <w:p>
      <w:pPr>
        <w:ind w:firstLine="588"/>
        <w:jc w:val="both"/>
        <w:spacing w:line="460" w:lineRule="exact"/>
        <w:shd w:val="clear" w:color="auto" w:fill="ffff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3.公平竞争审查二维码</w:t>
      </w:r>
      <w:r/>
    </w:p>
    <w:p>
      <w:pPr>
        <w:ind w:firstLine="588"/>
        <w:jc w:val="both"/>
        <w:spacing w:line="460" w:lineRule="exact"/>
        <w:shd w:val="clear" w:color="auto" w:fill="ffff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lang w:val="en-US" w:eastAsia="zh-CN"/>
        </w:rPr>
        <w:t xml:space="preserve">4</w:t>
      </w:r>
      <w:r>
        <w:rPr>
          <w:rFonts w:hint="eastAsia" w:ascii="宋体" w:hAnsi="宋体" w:eastAsia="宋体" w:cs="宋体"/>
          <w:color w:val="auto"/>
          <w:spacing w:val="7"/>
          <w:sz w:val="28"/>
          <w:szCs w:val="28"/>
          <w:highlight w:val="none"/>
          <w:lang w:eastAsia="zh-CN"/>
        </w:rPr>
        <w:t xml:space="preserve">.</w:t>
      </w:r>
      <w:r>
        <w:rPr>
          <w:rFonts w:hint="eastAsia" w:ascii="宋体" w:hAnsi="宋体" w:eastAsia="宋体" w:cs="宋体"/>
          <w:color w:val="auto"/>
          <w:spacing w:val="7"/>
          <w:sz w:val="28"/>
          <w:szCs w:val="28"/>
          <w:highlight w:val="none"/>
        </w:rPr>
        <w:t xml:space="preserve">办理政采贷和履约保函（保险）告知函</w:t>
      </w:r>
      <w:r/>
    </w:p>
    <w:p>
      <w:pPr>
        <w:ind w:firstLine="588"/>
        <w:jc w:val="center"/>
        <w:spacing w:line="460" w:lineRule="exact"/>
        <w:shd w:val="clear" w:color="auto" w:fill="ffffff"/>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  投标须知</w:t>
      </w:r>
      <w:r/>
    </w:p>
    <w:p>
      <w:pPr>
        <w:pStyle w:val="939"/>
        <w:ind w:firstLine="562"/>
        <w:spacing w:before="0" w:after="0" w:line="460" w:lineRule="exact"/>
        <w:rPr>
          <w:rFonts w:ascii="宋体" w:hAnsi="宋体" w:eastAsia="宋体" w:cs="宋体"/>
          <w:color w:val="auto"/>
          <w:sz w:val="28"/>
          <w:szCs w:val="28"/>
          <w:highlight w:val="none"/>
        </w:rPr>
      </w:pPr>
      <w:r/>
      <w:bookmarkStart w:id="7" w:name="_Toc513029203"/>
      <w:r/>
      <w:bookmarkStart w:id="8" w:name="_Toc20823275"/>
      <w:r/>
      <w:bookmarkStart w:id="9" w:name="_Toc16938519"/>
      <w:r/>
      <w:bookmarkStart w:id="10" w:name="_Toc120614214"/>
      <w:r>
        <w:rPr>
          <w:rFonts w:hint="eastAsia" w:ascii="宋体" w:hAnsi="宋体" w:eastAsia="宋体" w:cs="宋体"/>
          <w:color w:val="auto"/>
          <w:sz w:val="28"/>
          <w:szCs w:val="28"/>
          <w:highlight w:val="none"/>
        </w:rPr>
        <w:t xml:space="preserve">一、总则</w:t>
      </w:r>
      <w:bookmarkEnd w:id="7"/>
      <w:r/>
      <w:bookmarkEnd w:id="8"/>
      <w:r/>
      <w:bookmarkEnd w:id="9"/>
      <w:r/>
      <w:bookmarkEnd w:id="10"/>
      <w:r/>
      <w:r/>
    </w:p>
    <w:p>
      <w:pPr>
        <w:ind w:firstLine="560"/>
        <w:spacing w:line="460" w:lineRule="exact"/>
        <w:rPr>
          <w:rFonts w:ascii="宋体" w:hAnsi="宋体" w:cs="宋体"/>
          <w:b/>
          <w:bCs/>
          <w:color w:val="auto"/>
          <w:sz w:val="28"/>
          <w:szCs w:val="28"/>
          <w:highlight w:val="none"/>
        </w:rPr>
      </w:pPr>
      <w:r/>
      <w:bookmarkStart w:id="11" w:name="_Hlt16619475"/>
      <w:r/>
      <w:bookmarkEnd w:id="11"/>
      <w:r/>
      <w:bookmarkStart w:id="12" w:name="_Toc458694821"/>
      <w:r/>
      <w:bookmarkStart w:id="13" w:name="_Toc20823276"/>
      <w:r/>
      <w:bookmarkStart w:id="14" w:name="_Toc16938520"/>
      <w:r/>
      <w:bookmarkStart w:id="15" w:name="_Toc513029204"/>
      <w:r>
        <w:rPr>
          <w:rFonts w:hint="eastAsia" w:ascii="宋体" w:hAnsi="宋体" w:cs="宋体"/>
          <w:color w:val="auto"/>
          <w:sz w:val="28"/>
          <w:szCs w:val="28"/>
          <w:highlight w:val="none"/>
        </w:rPr>
        <w:t xml:space="preserve">1</w:t>
      </w:r>
      <w:bookmarkEnd w:id="12"/>
      <w:r>
        <w:rPr>
          <w:rFonts w:hint="eastAsia" w:ascii="宋体" w:hAnsi="宋体" w:cs="宋体"/>
          <w:color w:val="auto"/>
          <w:sz w:val="28"/>
          <w:szCs w:val="28"/>
          <w:highlight w:val="none"/>
        </w:rPr>
        <w:t xml:space="preserve">.招标方式</w:t>
      </w:r>
      <w:bookmarkEnd w:id="13"/>
      <w:r/>
      <w:bookmarkEnd w:id="14"/>
      <w:r/>
      <w:bookmarkEnd w:id="1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 本次招标采取公开招标方式，本招标文件仅适用于招标公告中所述项目。</w:t>
      </w:r>
      <w:r/>
    </w:p>
    <w:p>
      <w:pPr>
        <w:ind w:firstLine="560"/>
        <w:spacing w:line="460" w:lineRule="exact"/>
        <w:rPr>
          <w:rFonts w:ascii="宋体" w:hAnsi="宋体" w:cs="宋体"/>
          <w:b/>
          <w:bCs/>
          <w:color w:val="auto"/>
          <w:sz w:val="28"/>
          <w:szCs w:val="28"/>
          <w:highlight w:val="none"/>
        </w:rPr>
      </w:pPr>
      <w:r/>
      <w:bookmarkStart w:id="16" w:name="_Toc20823277"/>
      <w:r/>
      <w:bookmarkStart w:id="17" w:name="_Toc16938521"/>
      <w:r/>
      <w:bookmarkStart w:id="18" w:name="_Toc513029205"/>
      <w:r>
        <w:rPr>
          <w:rFonts w:hint="eastAsia" w:ascii="宋体" w:hAnsi="宋体" w:cs="宋体"/>
          <w:color w:val="auto"/>
          <w:sz w:val="28"/>
          <w:szCs w:val="28"/>
          <w:highlight w:val="none"/>
        </w:rPr>
        <w:t xml:space="preserve">2.合格的投标人</w:t>
      </w:r>
      <w:bookmarkEnd w:id="16"/>
      <w:r/>
      <w:bookmarkEnd w:id="17"/>
      <w:r/>
      <w:bookmarkEnd w:id="18"/>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b/>
          <w:bCs/>
          <w:color w:val="auto"/>
          <w:sz w:val="28"/>
          <w:szCs w:val="28"/>
          <w:highlight w:val="none"/>
        </w:rPr>
      </w:pPr>
      <w:r/>
      <w:bookmarkStart w:id="19" w:name="_Toc513029206"/>
      <w:r/>
      <w:bookmarkStart w:id="20" w:name="_Toc16938522"/>
      <w:r/>
      <w:bookmarkStart w:id="21" w:name="_Toc20823278"/>
      <w:r>
        <w:rPr>
          <w:rFonts w:hint="eastAsia" w:ascii="宋体" w:hAnsi="宋体" w:cs="宋体"/>
          <w:color w:val="auto"/>
          <w:sz w:val="28"/>
          <w:szCs w:val="28"/>
          <w:highlight w:val="none"/>
        </w:rPr>
        <w:t xml:space="preserve">3.适用法律</w:t>
      </w:r>
      <w:bookmarkEnd w:id="19"/>
      <w:r/>
      <w:bookmarkEnd w:id="20"/>
      <w:r/>
      <w:bookmarkEnd w:id="21"/>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b/>
          <w:bCs/>
          <w:color w:val="auto"/>
          <w:sz w:val="28"/>
          <w:szCs w:val="28"/>
          <w:highlight w:val="none"/>
        </w:rPr>
      </w:pPr>
      <w:r/>
      <w:bookmarkStart w:id="22" w:name="_Toc462564067"/>
      <w:r/>
      <w:bookmarkStart w:id="23" w:name="_Toc16938523"/>
      <w:r/>
      <w:bookmarkStart w:id="24" w:name="_Toc513029207"/>
      <w:r/>
      <w:bookmarkStart w:id="25" w:name="_Toc20823279"/>
      <w:r>
        <w:rPr>
          <w:rFonts w:hint="eastAsia" w:ascii="宋体" w:hAnsi="宋体" w:cs="宋体"/>
          <w:color w:val="auto"/>
          <w:sz w:val="28"/>
          <w:szCs w:val="28"/>
          <w:highlight w:val="none"/>
        </w:rPr>
        <w:t xml:space="preserve">4.投标费用</w:t>
      </w:r>
      <w:bookmarkEnd w:id="22"/>
      <w:r/>
      <w:bookmarkEnd w:id="23"/>
      <w:r/>
      <w:bookmarkEnd w:id="24"/>
      <w:r/>
      <w:bookmarkEnd w:id="25"/>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投标人应自行承担所有与参加投标有关的费用，无论投标过程中的做法和结果如何，江苏中润工程建设咨询有限公司（以下简称招标代理机构）在任何情况下均无义务和责任承担这些费用。</w:t>
      </w:r>
      <w:r/>
    </w:p>
    <w:p>
      <w:pPr>
        <w:ind w:firstLine="56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8"/>
          <w:szCs w:val="28"/>
          <w:highlight w:val="none"/>
        </w:rPr>
        <w:t xml:space="preserve">4.2</w:t>
      </w:r>
      <w:r>
        <w:rPr>
          <w:rFonts w:hint="eastAsia" w:ascii="宋体" w:hAnsi="宋体" w:eastAsia="宋体" w:cs="宋体"/>
          <w:bCs/>
          <w:color w:val="auto"/>
          <w:sz w:val="28"/>
          <w:szCs w:val="28"/>
          <w:highlight w:val="none"/>
          <w:lang w:val="en-US" w:eastAsia="zh-CN"/>
        </w:rPr>
        <w:t xml:space="preserve">本项目采购代理服务费按照国家发展计划委员会文件计价格〔2002〕1980号《招标代理服务收费管理暂行办法》规定标准的38.33%收取，不足1500元的按1500元收取。由中标人承担。投标人在报价时应综合考虑（不单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lang w:val="zh-CN"/>
        </w:rPr>
        <w:t xml:space="preserve">代理费定标后由</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候选人支付给代理机构。因</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原因导致</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结果变更或取消</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资格等，代理费不予退还。</w:t>
      </w:r>
      <w:r/>
    </w:p>
    <w:p>
      <w:pPr>
        <w:ind w:firstLine="560"/>
        <w:spacing w:line="46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招标文件需求部分（投标人资格要求、项目需求、商务技术评分标准）由招标人解释，其他部分由代理机构解释。</w:t>
      </w:r>
      <w:r/>
    </w:p>
    <w:p>
      <w:pPr>
        <w:pStyle w:val="939"/>
        <w:ind w:firstLine="562"/>
        <w:spacing w:before="0" w:after="0" w:line="460" w:lineRule="exact"/>
        <w:rPr>
          <w:rFonts w:ascii="宋体" w:hAnsi="宋体" w:eastAsia="宋体" w:cs="宋体"/>
          <w:color w:val="auto"/>
          <w:sz w:val="28"/>
          <w:szCs w:val="28"/>
          <w:highlight w:val="none"/>
        </w:rPr>
      </w:pPr>
      <w:r/>
      <w:bookmarkStart w:id="26" w:name="_Toc120614215"/>
      <w:r/>
      <w:bookmarkStart w:id="27" w:name="_Toc16938525"/>
      <w:r/>
      <w:bookmarkStart w:id="28" w:name="_Toc513029209"/>
      <w:r/>
      <w:bookmarkStart w:id="29" w:name="_Toc20823281"/>
      <w:r>
        <w:rPr>
          <w:rFonts w:hint="eastAsia" w:ascii="宋体" w:hAnsi="宋体" w:eastAsia="宋体" w:cs="宋体"/>
          <w:color w:val="auto"/>
          <w:sz w:val="28"/>
          <w:szCs w:val="28"/>
          <w:highlight w:val="none"/>
        </w:rPr>
        <w:t xml:space="preserve">二、招标文件</w:t>
      </w:r>
      <w:bookmarkEnd w:id="26"/>
      <w:r/>
      <w:bookmarkEnd w:id="27"/>
      <w:r/>
      <w:bookmarkEnd w:id="28"/>
      <w:r/>
      <w:bookmarkEnd w:id="29"/>
      <w:r/>
      <w:r/>
    </w:p>
    <w:p>
      <w:pPr>
        <w:ind w:firstLine="560"/>
        <w:spacing w:line="460" w:lineRule="exact"/>
        <w:rPr>
          <w:rFonts w:ascii="宋体" w:hAnsi="宋体" w:cs="宋体"/>
          <w:b/>
          <w:bCs/>
          <w:color w:val="auto"/>
          <w:sz w:val="28"/>
          <w:szCs w:val="28"/>
          <w:highlight w:val="none"/>
        </w:rPr>
      </w:pPr>
      <w:r/>
      <w:bookmarkStart w:id="30" w:name="_Toc513029210"/>
      <w:r/>
      <w:bookmarkStart w:id="31" w:name="_Toc20823282"/>
      <w:r/>
      <w:bookmarkStart w:id="32" w:name="_Toc16938526"/>
      <w:r>
        <w:rPr>
          <w:rFonts w:hint="eastAsia" w:ascii="宋体" w:hAnsi="宋体" w:cs="宋体"/>
          <w:color w:val="auto"/>
          <w:sz w:val="28"/>
          <w:szCs w:val="28"/>
          <w:highlight w:val="none"/>
        </w:rPr>
        <w:t xml:space="preserve">1.招标文件构成</w:t>
      </w:r>
      <w:bookmarkEnd w:id="30"/>
      <w:r/>
      <w:bookmarkEnd w:id="31"/>
      <w:r/>
      <w:bookmarkEnd w:id="32"/>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b/>
          <w:bCs/>
          <w:color w:val="auto"/>
          <w:sz w:val="28"/>
          <w:szCs w:val="28"/>
          <w:highlight w:val="none"/>
        </w:rPr>
      </w:pPr>
      <w:r/>
      <w:bookmarkStart w:id="33" w:name="_Toc462564070"/>
      <w:r/>
      <w:bookmarkStart w:id="34" w:name="_Toc16938527"/>
      <w:r/>
      <w:bookmarkStart w:id="35" w:name="_Toc513029211"/>
      <w:r/>
      <w:bookmarkStart w:id="36" w:name="_Toc20823283"/>
      <w:r>
        <w:rPr>
          <w:rFonts w:hint="eastAsia" w:ascii="宋体" w:hAnsi="宋体" w:cs="宋体"/>
          <w:color w:val="auto"/>
          <w:sz w:val="28"/>
          <w:szCs w:val="28"/>
          <w:highlight w:val="none"/>
        </w:rPr>
        <w:t xml:space="preserve">2.招标文件的澄清</w:t>
      </w:r>
      <w:bookmarkEnd w:id="33"/>
      <w:r/>
      <w:bookmarkEnd w:id="34"/>
      <w:r/>
      <w:bookmarkEnd w:id="35"/>
      <w:r/>
      <w:bookmarkEnd w:id="36"/>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.1 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.2澄清答复内容为招标文件的组成部分，并对供应商具有约束力。澄清内容可能影响投标文件编制的，采购人或者采购代理机构将顺延递交投标文件的截止时间</w:t>
      </w:r>
      <w:r>
        <w:rPr>
          <w:rFonts w:hint="eastAsia" w:ascii="宋体" w:hAnsi="宋体" w:cs="宋体"/>
          <w:bCs/>
          <w:color w:val="auto"/>
          <w:sz w:val="28"/>
          <w:szCs w:val="28"/>
          <w:highlight w:val="none"/>
          <w:lang w:eastAsia="zh-CN"/>
        </w:rPr>
        <w:t xml:space="preserve">。</w:t>
      </w:r>
      <w:r/>
    </w:p>
    <w:p>
      <w:pPr>
        <w:ind w:firstLine="560"/>
        <w:spacing w:line="460" w:lineRule="exact"/>
        <w:rPr>
          <w:rFonts w:ascii="宋体" w:hAnsi="宋体" w:cs="宋体"/>
          <w:b/>
          <w:bCs/>
          <w:color w:val="auto"/>
          <w:sz w:val="28"/>
          <w:szCs w:val="28"/>
          <w:highlight w:val="none"/>
        </w:rPr>
      </w:pPr>
      <w:r/>
      <w:bookmarkStart w:id="37" w:name="_Toc16938528"/>
      <w:r/>
      <w:bookmarkStart w:id="38" w:name="_Toc462564071"/>
      <w:r/>
      <w:bookmarkStart w:id="39" w:name="_Toc513029212"/>
      <w:r/>
      <w:bookmarkStart w:id="40" w:name="_Toc20823284"/>
      <w:r>
        <w:rPr>
          <w:rFonts w:hint="eastAsia" w:ascii="宋体" w:hAnsi="宋体" w:cs="宋体"/>
          <w:color w:val="auto"/>
          <w:sz w:val="28"/>
          <w:szCs w:val="28"/>
          <w:highlight w:val="none"/>
        </w:rPr>
        <w:t xml:space="preserve">3.招标文件的修改</w:t>
      </w:r>
      <w:bookmarkEnd w:id="37"/>
      <w:r/>
      <w:bookmarkEnd w:id="38"/>
      <w:r/>
      <w:bookmarkEnd w:id="39"/>
      <w:r/>
      <w:bookmarkEnd w:id="40"/>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562"/>
        <w:spacing w:line="460" w:lineRule="exact"/>
        <w:rPr>
          <w:rFonts w:ascii="宋体" w:hAnsi="宋体" w:cs="宋体"/>
          <w:b/>
          <w:bCs/>
          <w:color w:val="auto"/>
          <w:sz w:val="28"/>
          <w:szCs w:val="28"/>
          <w:highlight w:val="none"/>
          <w:u w:val="single"/>
        </w:rPr>
      </w:pPr>
      <w:r/>
      <w:bookmarkStart w:id="41" w:name="_Toc513029213"/>
      <w:r/>
      <w:bookmarkStart w:id="42" w:name="_Toc120614216"/>
      <w:r/>
      <w:bookmarkStart w:id="43" w:name="_Toc20823285"/>
      <w:r/>
      <w:bookmarkStart w:id="44" w:name="_Toc462564072"/>
      <w:r/>
      <w:bookmarkStart w:id="45" w:name="_Toc16938529"/>
      <w:r>
        <w:rPr>
          <w:rFonts w:hint="eastAsia" w:ascii="宋体" w:hAnsi="宋体" w:cs="宋体"/>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560"/>
        <w:spacing w:line="460" w:lineRule="exact"/>
        <w:rPr>
          <w:rFonts w:ascii="宋体" w:hAnsi="宋体" w:cs="宋体"/>
          <w:color w:val="auto"/>
          <w:sz w:val="24"/>
          <w:highlight w:val="none"/>
        </w:rPr>
      </w:pPr>
      <w:r>
        <w:rPr>
          <w:rFonts w:hint="eastAsia" w:ascii="宋体" w:hAnsi="宋体" w:cs="宋体"/>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bookmarkEnd w:id="41"/>
      <w:r/>
      <w:bookmarkEnd w:id="42"/>
      <w:r/>
      <w:bookmarkEnd w:id="43"/>
      <w:r/>
      <w:bookmarkEnd w:id="44"/>
      <w:r/>
      <w:bookmarkEnd w:id="45"/>
      <w:r/>
      <w:r/>
    </w:p>
    <w:p>
      <w:pPr>
        <w:pStyle w:val="939"/>
        <w:ind w:firstLine="562"/>
        <w:spacing w:before="0" w:after="0" w:line="460" w:lineRule="exact"/>
        <w:rPr>
          <w:rFonts w:ascii="宋体" w:hAnsi="宋体" w:eastAsia="宋体" w:cs="宋体"/>
          <w:color w:val="auto"/>
          <w:sz w:val="28"/>
          <w:szCs w:val="28"/>
          <w:highlight w:val="none"/>
        </w:rPr>
      </w:pPr>
      <w:r/>
      <w:bookmarkStart w:id="46" w:name="_Toc120614217"/>
      <w:r/>
      <w:bookmarkStart w:id="47" w:name="_Toc16938540"/>
      <w:r/>
      <w:bookmarkStart w:id="48" w:name="_Toc513029224"/>
      <w:r/>
      <w:bookmarkStart w:id="49" w:name="_Toc20823296"/>
      <w:r>
        <w:rPr>
          <w:rFonts w:hint="eastAsia" w:ascii="宋体" w:hAnsi="宋体" w:eastAsia="宋体" w:cs="宋体"/>
          <w:color w:val="auto"/>
          <w:sz w:val="28"/>
          <w:szCs w:val="28"/>
          <w:highlight w:val="none"/>
        </w:rPr>
        <w:t xml:space="preserve">三、投标文件的编制</w:t>
      </w:r>
      <w:r/>
    </w:p>
    <w:p>
      <w:pPr>
        <w:ind w:firstLine="560"/>
        <w:spacing w:line="460" w:lineRule="exact"/>
        <w:rPr>
          <w:rFonts w:ascii="宋体" w:hAnsi="宋体" w:cs="宋体"/>
          <w:bCs/>
          <w:color w:val="auto"/>
          <w:sz w:val="28"/>
          <w:szCs w:val="28"/>
          <w:highlight w:val="none"/>
        </w:rPr>
      </w:pPr>
      <w:r/>
      <w:bookmarkStart w:id="50" w:name="_Toc16938530"/>
      <w:r/>
      <w:bookmarkStart w:id="51" w:name="_Toc513029214"/>
      <w:r/>
      <w:bookmarkStart w:id="52" w:name="_Toc20823286"/>
      <w:r/>
      <w:bookmarkStart w:id="53" w:name="_Toc462564073"/>
      <w:r>
        <w:rPr>
          <w:rFonts w:hint="eastAsia" w:ascii="宋体" w:hAnsi="宋体" w:cs="宋体"/>
          <w:color w:val="auto"/>
          <w:sz w:val="28"/>
          <w:szCs w:val="28"/>
          <w:highlight w:val="none"/>
        </w:rPr>
        <w:t xml:space="preserve">1.投标文件的语言及度量衡单位</w:t>
      </w:r>
      <w:bookmarkEnd w:id="50"/>
      <w:r/>
      <w:bookmarkEnd w:id="51"/>
      <w:r/>
      <w:bookmarkEnd w:id="52"/>
      <w:r/>
      <w:bookmarkEnd w:id="53"/>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ascii="宋体" w:hAnsi="宋体" w:cs="宋体"/>
          <w:b/>
          <w:bCs/>
          <w:color w:val="auto"/>
          <w:sz w:val="28"/>
          <w:szCs w:val="28"/>
          <w:highlight w:val="none"/>
        </w:rPr>
      </w:pPr>
      <w:r/>
      <w:bookmarkStart w:id="54" w:name="_Toc20823287"/>
      <w:r/>
      <w:bookmarkStart w:id="55" w:name="_Toc16938531"/>
      <w:r/>
      <w:bookmarkStart w:id="56" w:name="_Toc462564074"/>
      <w:r/>
      <w:bookmarkStart w:id="57" w:name="_Toc513029215"/>
      <w:r>
        <w:rPr>
          <w:rFonts w:hint="eastAsia" w:ascii="宋体" w:hAnsi="宋体" w:cs="宋体"/>
          <w:color w:val="auto"/>
          <w:sz w:val="28"/>
          <w:szCs w:val="28"/>
          <w:highlight w:val="none"/>
        </w:rPr>
        <w:t xml:space="preserve">2.投标文件构成</w:t>
      </w:r>
      <w:bookmarkEnd w:id="54"/>
      <w:r/>
      <w:bookmarkEnd w:id="55"/>
      <w:r/>
      <w:bookmarkEnd w:id="56"/>
      <w:r/>
      <w:bookmarkEnd w:id="57"/>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ascii="宋体" w:hAnsi="宋体" w:cs="宋体"/>
          <w:b/>
          <w:bCs/>
          <w:color w:val="auto"/>
          <w:sz w:val="28"/>
          <w:szCs w:val="28"/>
          <w:highlight w:val="none"/>
        </w:rPr>
      </w:pPr>
      <w:r/>
      <w:bookmarkStart w:id="58" w:name="_Hlt26954838"/>
      <w:r/>
      <w:bookmarkEnd w:id="58"/>
      <w:r/>
      <w:bookmarkStart w:id="59" w:name="_Hlt26670360"/>
      <w:r/>
      <w:bookmarkEnd w:id="59"/>
      <w:r/>
      <w:bookmarkStart w:id="60" w:name="_Hlt26668975"/>
      <w:r/>
      <w:bookmarkEnd w:id="60"/>
      <w:r/>
      <w:bookmarkStart w:id="61" w:name="_Toc14577360"/>
      <w:r/>
      <w:bookmarkStart w:id="62" w:name="_Toc49090511"/>
      <w:r>
        <w:rPr>
          <w:rFonts w:hint="eastAsia" w:ascii="宋体" w:hAnsi="宋体" w:cs="宋体"/>
          <w:color w:val="auto"/>
          <w:sz w:val="28"/>
          <w:szCs w:val="28"/>
          <w:highlight w:val="none"/>
        </w:rPr>
        <w:t xml:space="preserve">3.投标有效期</w:t>
      </w:r>
      <w:bookmarkEnd w:id="61"/>
      <w:r/>
      <w:bookmarkEnd w:id="6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pPr>
      <w:r/>
      <w:bookmarkStart w:id="63" w:name="_Hlt26954852"/>
      <w:r/>
      <w:bookmarkEnd w:id="63"/>
      <w:r/>
      <w:bookmarkStart w:id="64" w:name="_Hlt26954739"/>
      <w:r/>
      <w:bookmarkEnd w:id="64"/>
      <w:r>
        <w:rPr>
          <w:rFonts w:hint="eastAsia" w:ascii="宋体" w:hAnsi="宋体" w:cs="宋体"/>
          <w:bCs/>
          <w:color w:val="auto"/>
          <w:sz w:val="28"/>
          <w:szCs w:val="28"/>
          <w:highlight w:val="none"/>
        </w:rPr>
        <w:t xml:space="preserve">5.电子投标文件其他要求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939"/>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bookmarkEnd w:id="46"/>
      <w:r/>
      <w:bookmarkEnd w:id="47"/>
      <w:r/>
      <w:bookmarkEnd w:id="48"/>
      <w:r/>
      <w:bookmarkEnd w:id="49"/>
      <w:r/>
      <w:r/>
    </w:p>
    <w:p>
      <w:pPr>
        <w:ind w:firstLine="560"/>
        <w:spacing w:line="460" w:lineRule="exact"/>
        <w:rPr>
          <w:rFonts w:ascii="宋体" w:hAnsi="宋体" w:cs="宋体"/>
          <w:bCs/>
          <w:color w:val="auto"/>
          <w:sz w:val="28"/>
          <w:szCs w:val="28"/>
          <w:highlight w:val="none"/>
        </w:rPr>
      </w:pPr>
      <w:r/>
      <w:bookmarkStart w:id="65" w:name="_Toc20823297"/>
      <w:r/>
      <w:bookmarkStart w:id="66" w:name="_Toc513029225"/>
      <w:r/>
      <w:bookmarkStart w:id="67" w:name="_Toc462564084"/>
      <w:r/>
      <w:bookmarkStart w:id="68" w:name="_Toc16938541"/>
      <w:r/>
      <w:bookmarkStart w:id="69" w:name="_Toc513029229"/>
      <w:r/>
      <w:bookmarkStart w:id="70" w:name="_Toc20823301"/>
      <w:r/>
      <w:bookmarkStart w:id="71" w:name="_Toc16938545"/>
      <w:r/>
      <w:bookmarkStart w:id="72" w:name="_Toc120614218"/>
      <w:r>
        <w:rPr>
          <w:rFonts w:hint="eastAsia" w:ascii="宋体" w:hAnsi="宋体" w:cs="宋体"/>
          <w:bCs/>
          <w:color w:val="auto"/>
          <w:sz w:val="28"/>
          <w:szCs w:val="28"/>
          <w:highlight w:val="none"/>
        </w:rPr>
        <w:t xml:space="preserve">1.</w:t>
      </w:r>
      <w:bookmarkEnd w:id="65"/>
      <w:r/>
      <w:bookmarkEnd w:id="66"/>
      <w:r/>
      <w:bookmarkEnd w:id="67"/>
      <w:r/>
      <w:bookmarkEnd w:id="68"/>
      <w:r>
        <w:rPr>
          <w:rFonts w:hint="eastAsia" w:ascii="宋体" w:hAnsi="宋体" w:cs="宋体"/>
          <w:bCs/>
          <w:color w:val="auto"/>
          <w:sz w:val="28"/>
          <w:szCs w:val="28"/>
          <w:highlight w:val="none"/>
        </w:rPr>
        <w:t xml:space="preserve">投标文件的提交</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说明：投标人应使用CA数字证书以及自备的能够登录“苏采云”系统的电脑，在达到开标时间后，使用CA数字证书解密各自投标文件。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4.1招标代理机构拒绝接收在其规定的投标文件提交截止时间后上传的任何投标文件。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 投标文件的撤回和修改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5.1.1电子投标文件的撤回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939"/>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bookmarkEnd w:id="69"/>
      <w:r/>
      <w:bookmarkEnd w:id="70"/>
      <w:r/>
      <w:bookmarkEnd w:id="71"/>
      <w:r/>
      <w:bookmarkEnd w:id="72"/>
      <w:r/>
      <w:r/>
    </w:p>
    <w:p>
      <w:pPr>
        <w:ind w:firstLine="560"/>
        <w:spacing w:line="460" w:lineRule="exact"/>
        <w:rPr>
          <w:rFonts w:ascii="宋体" w:hAnsi="宋体" w:cs="宋体"/>
          <w:bCs/>
          <w:color w:val="auto"/>
          <w:sz w:val="28"/>
          <w:szCs w:val="28"/>
          <w:highlight w:val="none"/>
        </w:rPr>
      </w:pPr>
      <w:r/>
      <w:bookmarkStart w:id="73" w:name="_Toc513029231"/>
      <w:r/>
      <w:bookmarkStart w:id="74" w:name="_Toc20823303"/>
      <w:r/>
      <w:bookmarkStart w:id="75" w:name="_Toc16938547"/>
      <w:r>
        <w:rPr>
          <w:rFonts w:hint="eastAsia" w:ascii="宋体" w:hAnsi="宋体" w:cs="宋体"/>
          <w:bCs/>
          <w:color w:val="auto"/>
          <w:sz w:val="28"/>
          <w:szCs w:val="28"/>
          <w:highlight w:val="none"/>
        </w:rPr>
        <w:t xml:space="preserve">1.开标</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rPr>
        <w:t xml:space="preserve">招标代理机构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73"/>
      <w:r/>
      <w:bookmarkEnd w:id="74"/>
      <w:r/>
      <w:bookmarkEnd w:id="7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2.1开标后，招标代理机构将立即组织评标委员会（以下简称评委会）进行评审。</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2.2评委会由招标人代表和有关技术、经济等方面的专家组成，且人员构成符合政府采购有关规定。</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3.评审过程的保密与公正</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3.5在评审期间，招标代理机构将设专门人员与投标人联系。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3.6招标人、招标代理机构和评标委员会不向未中标的投标人解释未中标原因，也不公布评审过程中的相关细节。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3.7采用综合评分法的项目，未中标的投标人可于中标结果公告期限届满之日起通过苏采云系统查看自己的评审得分及排序情况。</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接到评标委员会澄清、说明和更正要求的投标人如未按规定作出澄清、说明和更正，其风险由投标人自行承担。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5.1.1资格性检查：依据法律法规和招标文件的规定，由招标人对投标文件中的资格证明文件进行审查。资格审查的结论，招标人以书面形式向评委会进行反馈。</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5.1.2招标人在进行资格性审查的同时，将在“信用中国”网站（www.creditchina.gov.cn）查询投标人的信用记录，以确定投标人是否具备投标资格,查询结果留存并归档。</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5.1.5未通过资格审查或符合性审查的投标人，招标代理机构将在苏采云系统中告知未通过资格审查或符合性审查的原因，评审结束后，招标代理机构将不再告知未通过资格审查或符合性审查的原因。</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5.2.1.根据省财政厅《关于推动解决政府采购异常低价问题相关工作的通知》（苏财购〔2025〕62号）要求，评审过程中出现下列情形之一的，评审委员会应当启动异常低价投标（响应）审查程序：</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（1）投标(响应)报价低于采购项目预算50%的，即投标(响应)报价&lt;采购项目预算×50%;</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（2）投标(响应)报价低于采购项目最高限价45%的，即投标(响应)报价&lt;采购项目最高限价×45%;</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（3）评审委员会认定的供应商报价过低、有可能影响产品质量或者不能诚信履约的其他情形。</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5.5.1投标文件中开标一览表内容与投标文件中相应内容不一致的，以开标一览表为准。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5.5.2大写金额和小写金额不一致的，以大写金额为准。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5.5.3单价金额小数点或者百分比有明显错位的，以开标一览表的总价为准，并修改单价。</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5.5.4总价金额与按单价汇总金额不一致的，以单价金额计算结果为准。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投标人在开、评标全过程中应保持通讯畅通，及时登录苏采云系统查阅、答复相关信息，并安排专人与招标人或招标代理机构及评标委员会联系。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6.投标文件线上格式要求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6.2通过“苏采云”系统提交政府采购客户端工具导出加密的投标文件（后缀名为zip）。投标文件不得超过150M！</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460" w:lineRule="exact"/>
        <w:rPr>
          <w:rFonts w:ascii="宋体" w:hAnsi="宋体" w:cs="宋体"/>
          <w:bCs/>
          <w:color w:val="auto"/>
          <w:sz w:val="28"/>
          <w:szCs w:val="28"/>
          <w:highlight w:val="none"/>
        </w:rPr>
      </w:pPr>
      <w:r/>
      <w:bookmarkStart w:id="76" w:name="_Toc20823307"/>
      <w:r/>
      <w:bookmarkStart w:id="77" w:name="_Toc513029235"/>
      <w:r/>
      <w:bookmarkStart w:id="78" w:name="_Toc16938551"/>
      <w:r>
        <w:rPr>
          <w:rFonts w:hint="eastAsia" w:ascii="宋体" w:hAnsi="宋体" w:cs="宋体"/>
          <w:bCs/>
          <w:color w:val="auto"/>
          <w:sz w:val="28"/>
          <w:szCs w:val="28"/>
          <w:highlight w:val="none"/>
        </w:rPr>
        <w:t xml:space="preserve">7.1无效投标条款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不符合招标文件中规定的其他实质性要求和条件的。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7</w:t>
      </w:r>
      <w:r>
        <w:rPr>
          <w:rFonts w:hint="eastAsia" w:ascii="宋体" w:hAnsi="宋体" w:cs="宋体"/>
          <w:bCs/>
          <w:color w:val="auto"/>
          <w:sz w:val="28"/>
          <w:szCs w:val="28"/>
          <w:highlight w:val="none"/>
        </w:rPr>
        <w:t xml:space="preserve">投标文件含有招标人不能接受的附加条件的 。</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启动异常低价响应审查后，供应商不提供书面说明、证明材料，或者提供的书面说明、证明材料不能证明其报价合理性的。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7.1.1</w:t>
      </w:r>
      <w:r>
        <w:rPr>
          <w:rFonts w:hint="eastAsia" w:ascii="宋体" w:hAnsi="宋体" w:cs="宋体"/>
          <w:b/>
          <w:color w:val="auto"/>
          <w:sz w:val="28"/>
          <w:szCs w:val="28"/>
          <w:highlight w:val="none"/>
          <w:lang w:val="en-US" w:eastAsia="zh-CN"/>
        </w:rPr>
        <w:t xml:space="preserve">0</w:t>
      </w:r>
      <w:r>
        <w:rPr>
          <w:rFonts w:hint="eastAsia" w:ascii="宋体" w:hAnsi="宋体" w:cs="宋体"/>
          <w:b/>
          <w:color w:val="auto"/>
          <w:sz w:val="28"/>
          <w:szCs w:val="28"/>
          <w:highlight w:val="none"/>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投标人的商务技术部分得分相差悬殊，评标委员会认为得分畸低者没有实质性响应的。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未提供样品或样品提供不全</w:t>
      </w:r>
      <w:r>
        <w:rPr>
          <w:rFonts w:hint="eastAsia" w:ascii="宋体" w:hAnsi="宋体" w:cs="宋体"/>
          <w:bCs/>
          <w:color w:val="auto"/>
          <w:sz w:val="28"/>
          <w:szCs w:val="28"/>
          <w:highlight w:val="none"/>
          <w:lang w:eastAsia="zh-CN"/>
        </w:rPr>
        <w:t xml:space="preserve">或</w:t>
      </w:r>
      <w:r>
        <w:rPr>
          <w:rFonts w:hint="eastAsia" w:ascii="宋体" w:hAnsi="宋体" w:cs="宋体"/>
          <w:bCs/>
          <w:color w:val="auto"/>
          <w:sz w:val="28"/>
          <w:szCs w:val="28"/>
          <w:highlight w:val="none"/>
        </w:rPr>
        <w:t xml:space="preserve">样品出现任何投标人的标识</w:t>
      </w:r>
      <w:r>
        <w:rPr>
          <w:rFonts w:hint="eastAsia" w:ascii="宋体" w:hAnsi="宋体" w:cs="宋体"/>
          <w:bCs/>
          <w:color w:val="auto"/>
          <w:sz w:val="28"/>
          <w:szCs w:val="28"/>
          <w:highlight w:val="none"/>
          <w:lang w:eastAsia="zh-CN"/>
        </w:rPr>
        <w:t xml:space="preserve">的</w:t>
      </w:r>
      <w:r>
        <w:rPr>
          <w:rFonts w:hint="eastAsia" w:ascii="宋体" w:hAnsi="宋体" w:cs="宋体"/>
          <w:bCs/>
          <w:color w:val="auto"/>
          <w:sz w:val="28"/>
          <w:szCs w:val="28"/>
          <w:highlight w:val="none"/>
        </w:rPr>
        <w:t xml:space="preserve">。</w:t>
      </w:r>
      <w:r/>
    </w:p>
    <w:p>
      <w:pPr>
        <w:pStyle w:val="789"/>
        <w:ind w:left="0"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76"/>
      <w:r/>
      <w:bookmarkEnd w:id="77"/>
      <w:r/>
      <w:bookmarkEnd w:id="78"/>
      <w:r/>
      <w:r/>
    </w:p>
    <w:p>
      <w:pPr>
        <w:pStyle w:val="939"/>
        <w:ind w:firstLine="562"/>
        <w:spacing w:before="0" w:after="0" w:line="460" w:lineRule="exact"/>
        <w:rPr>
          <w:rFonts w:ascii="宋体" w:hAnsi="宋体" w:eastAsia="宋体" w:cs="宋体"/>
          <w:color w:val="auto"/>
          <w:sz w:val="28"/>
          <w:szCs w:val="28"/>
          <w:highlight w:val="none"/>
        </w:rPr>
      </w:pPr>
      <w:r/>
      <w:bookmarkStart w:id="79" w:name="_Toc120614219"/>
      <w:r>
        <w:rPr>
          <w:rFonts w:hint="eastAsia" w:ascii="宋体" w:hAnsi="宋体" w:eastAsia="宋体" w:cs="宋体"/>
          <w:color w:val="auto"/>
          <w:sz w:val="28"/>
          <w:szCs w:val="28"/>
          <w:highlight w:val="none"/>
        </w:rPr>
        <w:t xml:space="preserve">六、定标</w:t>
      </w:r>
      <w:bookmarkEnd w:id="79"/>
      <w:r/>
      <w:r/>
    </w:p>
    <w:p>
      <w:pPr>
        <w:ind w:firstLine="560"/>
        <w:spacing w:line="460" w:lineRule="exact"/>
        <w:rPr>
          <w:rFonts w:ascii="宋体" w:hAnsi="宋体" w:cs="宋体"/>
          <w:b/>
          <w:color w:val="auto"/>
          <w:sz w:val="28"/>
          <w:szCs w:val="28"/>
          <w:highlight w:val="none"/>
        </w:rPr>
      </w:pPr>
      <w:r/>
      <w:bookmarkStart w:id="80" w:name="_Toc16938554"/>
      <w:r/>
      <w:bookmarkStart w:id="81" w:name="_Toc20823310"/>
      <w:r>
        <w:rPr>
          <w:rFonts w:hint="eastAsia" w:ascii="宋体" w:hAnsi="宋体" w:cs="宋体"/>
          <w:color w:val="auto"/>
          <w:sz w:val="28"/>
          <w:szCs w:val="28"/>
          <w:highlight w:val="none"/>
        </w:rPr>
        <w:t xml:space="preserve">1.确定</w:t>
      </w:r>
      <w:bookmarkEnd w:id="80"/>
      <w:r/>
      <w:bookmarkEnd w:id="81"/>
      <w:r>
        <w:rPr>
          <w:rFonts w:hint="eastAsia" w:ascii="宋体" w:hAnsi="宋体" w:cs="宋体"/>
          <w:color w:val="auto"/>
          <w:sz w:val="28"/>
          <w:szCs w:val="28"/>
          <w:highlight w:val="none"/>
        </w:rPr>
        <w:t xml:space="preserve">中标人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1.2招标人授权评委会在中标候选人中直接确定中标人。</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1.4.2向招标人、代理机构行贿或者提供其他不正当利益的。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1.4.5与招标人或者其他投标人恶意串通的。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ascii="宋体" w:hAnsi="宋体" w:cs="宋体"/>
          <w:color w:val="auto"/>
          <w:sz w:val="28"/>
          <w:szCs w:val="28"/>
          <w:highlight w:val="none"/>
        </w:rPr>
      </w:pPr>
      <w:r/>
      <w:bookmarkStart w:id="82"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bookmarkEnd w:id="82"/>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2.中标通知书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2.2中标通知书将是合同的一个组成部分。对招标人和中标人均具有法律效力。中标通知书发出后，招标人改变中标结果的，或者中标人放弃中标项目的，应当依法承担法律责任。</w:t>
      </w:r>
      <w:bookmarkStart w:id="83" w:name="_Toc120614220"/>
      <w:r/>
      <w:bookmarkStart w:id="84" w:name="_Toc16938552"/>
      <w:r/>
      <w:bookmarkStart w:id="85" w:name="_Toc20823308"/>
      <w:r/>
      <w:bookmarkStart w:id="86" w:name="_Toc513029236"/>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特别说明：中标人在下载中标通知书后须提供</w:t>
      </w:r>
      <w:r>
        <w:rPr>
          <w:rFonts w:hint="eastAsia" w:ascii="宋体" w:hAnsi="宋体" w:cs="宋体"/>
          <w:b/>
          <w:bCs/>
          <w:color w:val="auto"/>
          <w:sz w:val="28"/>
          <w:szCs w:val="28"/>
          <w:highlight w:val="none"/>
          <w:u w:val="single"/>
        </w:rPr>
        <w:t xml:space="preserve">2套</w:t>
      </w:r>
      <w:r>
        <w:rPr>
          <w:rFonts w:hint="eastAsia" w:ascii="宋体" w:hAnsi="宋体" w:cs="宋体"/>
          <w:b/>
          <w:bCs/>
          <w:color w:val="auto"/>
          <w:sz w:val="28"/>
          <w:szCs w:val="28"/>
          <w:highlight w:val="none"/>
        </w:rPr>
        <w:t xml:space="preserve">加盖公章的系统内打印的纸质响应文件给招标代理机构。</w:t>
      </w:r>
      <w:r/>
    </w:p>
    <w:p>
      <w:pPr>
        <w:pStyle w:val="939"/>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bookmarkEnd w:id="83"/>
      <w:r/>
      <w:bookmarkEnd w:id="84"/>
      <w:r/>
      <w:bookmarkEnd w:id="85"/>
      <w:r/>
      <w:bookmarkEnd w:id="86"/>
      <w:r/>
      <w:r/>
    </w:p>
    <w:p>
      <w:pPr>
        <w:ind w:firstLine="560"/>
        <w:keepNext/>
        <w:spacing w:line="460" w:lineRule="exact"/>
        <w:rPr>
          <w:rFonts w:ascii="宋体" w:hAnsi="宋体" w:cs="宋体"/>
          <w:b/>
          <w:color w:val="auto"/>
          <w:sz w:val="28"/>
          <w:szCs w:val="28"/>
          <w:highlight w:val="none"/>
        </w:rPr>
        <w:outlineLvl w:val="3"/>
      </w:pPr>
      <w:r>
        <w:rPr>
          <w:rFonts w:hint="eastAsia" w:ascii="宋体" w:hAnsi="宋体" w:cs="宋体"/>
          <w:color w:val="auto"/>
          <w:sz w:val="28"/>
          <w:szCs w:val="28"/>
          <w:highlight w:val="none"/>
        </w:rPr>
        <w:t xml:space="preserve">1.签订合同</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.l中标人应当在中标通知书发出之日起三十日内，按照招标文件确定的事项与招标人签订政府采购合同。</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r/>
    </w:p>
    <w:p>
      <w:pPr>
        <w:ind w:firstLine="560"/>
        <w:keepNext/>
        <w:spacing w:line="460" w:lineRule="exact"/>
        <w:rPr>
          <w:rFonts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3.政府采购履约资金扶持政策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八、电子招标投标交易平台</w:t>
      </w:r>
      <w:r/>
    </w:p>
    <w:p>
      <w:pPr>
        <w:ind w:firstLine="560"/>
        <w:spacing w:line="460" w:lineRule="exact"/>
        <w:rPr>
          <w:rFonts w:ascii="宋体" w:hAnsi="宋体" w:cs="宋体"/>
          <w:bCs/>
          <w:color w:val="auto"/>
          <w:sz w:val="36"/>
          <w:szCs w:val="36"/>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cs="宋体"/>
          <w:bCs/>
          <w:color w:val="auto"/>
          <w:sz w:val="28"/>
          <w:szCs w:val="28"/>
          <w:highlight w:val="none"/>
        </w:rPr>
        <w:t xml:space="preserve">电子招标投标交易平台（即“苏采云”系统，网址：http://jszfcg.jsczt.cn/）相关要求是本招标文件的组成部分。</w:t>
      </w:r>
      <w:r/>
    </w:p>
    <w:p>
      <w:pPr>
        <w:jc w:val="both"/>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spacing w:line="360" w:lineRule="auto"/>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第三部分  项目需求</w:t>
      </w:r>
      <w:bookmarkEnd w:id="0"/>
      <w:r/>
      <w:bookmarkEnd w:id="1"/>
      <w:r/>
      <w:bookmarkEnd w:id="2"/>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培训，售后服务，保险等。</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不能简单照搬照抄招标文件项目需求说明中的技术、商务要求，必须作实事求是地响应。如投标人提供的货物和服务同招标人提出的项目需求说明中的技术、商务要求不同的，必须在《商务部分正负偏离表》和《技术部分正负偏离表》上明示。</w:t>
      </w:r>
      <w:r/>
    </w:p>
    <w:p>
      <w:pPr>
        <w:ind w:firstLine="562"/>
        <w:spacing w:line="460" w:lineRule="exact"/>
        <w:rPr>
          <w:b/>
          <w:bCs/>
          <w:color w:val="auto"/>
          <w:highlight w:val="none"/>
        </w:rPr>
      </w:pPr>
      <w:r>
        <w:rPr>
          <w:rFonts w:hint="eastAsia" w:ascii="宋体" w:hAnsi="宋体" w:cs="宋体"/>
          <w:b/>
          <w:bCs/>
          <w:color w:val="auto"/>
          <w:sz w:val="28"/>
          <w:szCs w:val="28"/>
          <w:highlight w:val="none"/>
        </w:rPr>
        <w:t xml:space="preserve">一、项目属性：货物类项目。</w:t>
      </w:r>
      <w:r/>
    </w:p>
    <w:p>
      <w:pPr>
        <w:pStyle w:val="799"/>
        <w:ind w:left="0"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二、采购清单</w:t>
      </w:r>
      <w:r/>
    </w:p>
    <w:tbl>
      <w:tblPr>
        <w:tblStyle w:val="712"/>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32"/>
        <w:gridCol w:w="660"/>
        <w:gridCol w:w="2808"/>
        <w:gridCol w:w="469"/>
        <w:gridCol w:w="2808"/>
        <w:gridCol w:w="1177"/>
        <w:gridCol w:w="801"/>
        <w:gridCol w:w="783"/>
      </w:tblGrid>
      <w:tr>
        <w:trPr>
          <w:jc w:val="center"/>
          <w:trHeight w:val="0"/>
        </w:trPr>
        <w:tc>
          <w:tcPr>
            <w:tcW w:w="168"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35"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货物名称</w:t>
            </w:r>
            <w:r/>
          </w:p>
        </w:tc>
        <w:tc>
          <w:tcPr>
            <w:tcW w:w="1427"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参数/规格</w:t>
            </w:r>
            <w:r/>
          </w:p>
        </w:tc>
        <w:tc>
          <w:tcPr>
            <w:tcW w:w="238"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W w:w="1427" w:type="pct"/>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参考图片</w:t>
            </w:r>
            <w:r/>
          </w:p>
        </w:tc>
        <w:tc>
          <w:tcPr>
            <w:tcW w:w="59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对应中小企业划分标准所属行业</w:t>
            </w:r>
            <w:r/>
          </w:p>
        </w:tc>
        <w:tc>
          <w:tcPr>
            <w:tcW w:w="407" w:type="pct"/>
            <w:vAlign w:val="center"/>
            <w:textDirection w:val="lrTb"/>
            <w:noWrap w:val="false"/>
          </w:tcPr>
          <w:p>
            <w:pPr>
              <w:jc w:val="cente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是否主要标的</w:t>
            </w:r>
            <w:r/>
          </w:p>
        </w:tc>
        <w:tc>
          <w:tcPr>
            <w:tcW w:w="397" w:type="pct"/>
            <w:vAlign w:val="center"/>
            <w:textDirection w:val="lrTb"/>
            <w:noWrap w:val="false"/>
          </w:tcPr>
          <w:p>
            <w:pPr>
              <w:jc w:val="cente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是否核心产品</w:t>
            </w:r>
            <w:r/>
          </w:p>
        </w:tc>
      </w:tr>
      <w:tr>
        <w:trPr>
          <w:jc w:val="center"/>
          <w:trHeight w:val="0"/>
        </w:trPr>
        <w:tc>
          <w:tcPr>
            <w:tcW w:w="168"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3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智能存储架</w:t>
            </w:r>
            <w:r/>
          </w:p>
        </w:tc>
        <w:tc>
          <w:tcPr>
            <w:tcW w:w="1427" w:type="pct"/>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W5940*D540*H2260mm，6组/列，共45列；</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存储架共2层，每层净宽≥900*净深480mm。底层板合并无缝，中间无挡棒，背后面带一根扁挡板的，防止蜡片、切片柜滑落。底层每组放置蜡片柜或蜡片柜2套,上层放文书档案</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具体参数要求详见“附件”</w:t>
            </w:r>
            <w:r/>
          </w:p>
        </w:tc>
        <w:tc>
          <w:tcPr>
            <w:tcW w:w="238"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270组</w:t>
            </w:r>
            <w:r/>
          </w:p>
        </w:tc>
        <w:tc>
          <w:tcPr>
            <w:tcW w:w="142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740535" cy="1306195"/>
                      <wp:effectExtent l="0" t="0" r="12065" b="8255"/>
                      <wp:docPr id="3" name="图片 13" descr="3116b76fc52b6d904b704f109492c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3116b76fc52b6d904b704f109492c34"/>
                              <pic:cNvPicPr>
                                <a:picLocks noChangeAspect="1"/>
                              </pic:cNvPicPr>
                              <pic:nvPr/>
                            </pic:nvPicPr>
                            <pic:blipFill>
                              <a:blip r:embed="rId14"/>
                              <a:stretch/>
                            </pic:blipFill>
                            <pic:spPr bwMode="auto">
                              <a:xfrm>
                                <a:off x="0" y="0"/>
                                <a:ext cx="1740535" cy="1306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7.0pt;height:102.8pt;mso-wrap-distance-left:0.0pt;mso-wrap-distance-top:0.0pt;mso-wrap-distance-right:0.0pt;mso-wrap-distance-bottom:0.0pt;" stroked="false">
                      <v:path textboxrect="0,0,0,0"/>
                      <v:imagedata r:id="rId14" o:title=""/>
                    </v:shape>
                  </w:pict>
                </mc:Fallback>
              </mc:AlternateContent>
            </w:r>
            <w:r/>
          </w:p>
        </w:tc>
        <w:tc>
          <w:tcPr>
            <w:tcW w:w="59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工业</w:t>
            </w:r>
            <w:r/>
          </w:p>
        </w:tc>
        <w:tc>
          <w:tcPr>
            <w:tcW w:w="40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是</w:t>
            </w:r>
            <w:r/>
          </w:p>
        </w:tc>
        <w:tc>
          <w:tcPr>
            <w:tcW w:w="39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是</w:t>
            </w:r>
            <w:r/>
          </w:p>
        </w:tc>
      </w:tr>
      <w:tr>
        <w:trPr>
          <w:jc w:val="center"/>
          <w:trHeight w:val="0"/>
        </w:trPr>
        <w:tc>
          <w:tcPr>
            <w:tcW w:w="168"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3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蜡片柜</w:t>
            </w:r>
            <w:r/>
          </w:p>
        </w:tc>
        <w:tc>
          <w:tcPr>
            <w:tcW w:w="1427" w:type="pct"/>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1、W450*D480*H1560mm；</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2、每6抽斗为一节，每4节为一套，每抽斗内带11块竖隔板，分为12竖隔；</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（每只抽斗约放620蜡片，每套24斗约放14880蜡片）；</w:t>
            </w:r>
            <w:r/>
          </w:p>
          <w:p>
            <w:pPr>
              <w:pStyle w:val="719"/>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3、采用优质冷轧钢板制作，厚度均为0.8mm。</w:t>
            </w:r>
            <w:r/>
          </w:p>
        </w:tc>
        <w:tc>
          <w:tcPr>
            <w:tcW w:w="238" w:type="pct"/>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225</w:t>
            </w:r>
            <w:r>
              <w:rPr>
                <w:rFonts w:hint="eastAsia" w:ascii="宋体" w:hAnsi="宋体" w:cs="宋体"/>
                <w:color w:val="auto"/>
                <w:szCs w:val="21"/>
                <w:highlight w:val="none"/>
              </w:rPr>
              <w:t xml:space="preserve">套</w:t>
            </w:r>
            <w:r/>
          </w:p>
        </w:tc>
        <w:tc>
          <w:tcPr>
            <w:tcW w:w="142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130935" cy="1664335"/>
                      <wp:effectExtent l="0" t="0" r="12065" b="12065"/>
                      <wp:docPr id="4" name="图片 12" descr="98b75412ed145f0af28825c0f54c2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descr="98b75412ed145f0af28825c0f54c2da"/>
                              <pic:cNvPicPr>
                                <a:picLocks noChangeAspect="1"/>
                              </pic:cNvPicPr>
                              <pic:nvPr/>
                            </pic:nvPicPr>
                            <pic:blipFill>
                              <a:blip r:embed="rId15"/>
                              <a:stretch/>
                            </pic:blipFill>
                            <pic:spPr bwMode="auto">
                              <a:xfrm>
                                <a:off x="0" y="0"/>
                                <a:ext cx="1130935" cy="1664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0pt;height:131.0pt;mso-wrap-distance-left:0.0pt;mso-wrap-distance-top:0.0pt;mso-wrap-distance-right:0.0pt;mso-wrap-distance-bottom:0.0pt;" stroked="false">
                      <v:path textboxrect="0,0,0,0"/>
                      <v:imagedata r:id="rId15" o:title=""/>
                    </v:shape>
                  </w:pict>
                </mc:Fallback>
              </mc:AlternateContent>
            </w:r>
            <w:r/>
          </w:p>
        </w:tc>
        <w:tc>
          <w:tcPr>
            <w:tcW w:w="59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工业</w:t>
            </w:r>
            <w:r/>
          </w:p>
        </w:tc>
        <w:tc>
          <w:tcPr>
            <w:tcW w:w="40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否</w:t>
            </w:r>
            <w:r/>
          </w:p>
        </w:tc>
        <w:tc>
          <w:tcPr>
            <w:tcW w:w="39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否</w:t>
            </w:r>
            <w:r/>
          </w:p>
        </w:tc>
      </w:tr>
      <w:tr>
        <w:trPr>
          <w:jc w:val="center"/>
          <w:trHeight w:val="0"/>
        </w:trPr>
        <w:tc>
          <w:tcPr>
            <w:tcW w:w="168"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3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切片柜</w:t>
            </w:r>
            <w:r/>
          </w:p>
        </w:tc>
        <w:tc>
          <w:tcPr>
            <w:tcW w:w="1427" w:type="pct"/>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W450*D480*H1560mm；</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3横6竖共18抽为一节，每4节为一套，每抽斗内带1块竖隔板和2块横隔板，分为6小格；</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（每只抽斗约放833只蜡片，每套72斗可放蜡片约60000）；</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采用优质冷轧钢板制作，厚度均为0.8mm。</w:t>
            </w:r>
            <w:r/>
          </w:p>
        </w:tc>
        <w:tc>
          <w:tcPr>
            <w:tcW w:w="238" w:type="pct"/>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75</w:t>
            </w:r>
            <w:r>
              <w:rPr>
                <w:rFonts w:hint="eastAsia" w:ascii="宋体" w:hAnsi="宋体" w:cs="宋体"/>
                <w:color w:val="auto"/>
                <w:szCs w:val="21"/>
                <w:highlight w:val="none"/>
              </w:rPr>
              <w:t xml:space="preserve">套</w:t>
            </w:r>
            <w:r/>
          </w:p>
        </w:tc>
        <w:tc>
          <w:tcPr>
            <w:tcW w:w="142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176020" cy="1569720"/>
                      <wp:effectExtent l="0" t="0" r="5080" b="11430"/>
                      <wp:docPr id="5" name="图片 14" descr="01fe2f03b29de4521f6d46c3b1e45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01fe2f03b29de4521f6d46c3b1e45a8"/>
                              <pic:cNvPicPr>
                                <a:picLocks noChangeAspect="1"/>
                              </pic:cNvPicPr>
                              <pic:nvPr/>
                            </pic:nvPicPr>
                            <pic:blipFill>
                              <a:blip r:embed="rId16"/>
                              <a:stretch/>
                            </pic:blipFill>
                            <pic:spPr bwMode="auto">
                              <a:xfrm>
                                <a:off x="0" y="0"/>
                                <a:ext cx="1176020" cy="1569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6pt;height:123.6pt;mso-wrap-distance-left:0.0pt;mso-wrap-distance-top:0.0pt;mso-wrap-distance-right:0.0pt;mso-wrap-distance-bottom:0.0pt;" stroked="false">
                      <v:path textboxrect="0,0,0,0"/>
                      <v:imagedata r:id="rId16" o:title=""/>
                    </v:shape>
                  </w:pict>
                </mc:Fallback>
              </mc:AlternateContent>
            </w:r>
            <w:r/>
          </w:p>
        </w:tc>
        <w:tc>
          <w:tcPr>
            <w:tcW w:w="59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工业</w:t>
            </w:r>
            <w:r/>
          </w:p>
        </w:tc>
        <w:tc>
          <w:tcPr>
            <w:tcW w:w="40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否</w:t>
            </w:r>
            <w:r/>
          </w:p>
        </w:tc>
        <w:tc>
          <w:tcPr>
            <w:tcW w:w="39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否</w:t>
            </w:r>
            <w:r/>
          </w:p>
        </w:tc>
      </w:tr>
      <w:tr>
        <w:trPr>
          <w:jc w:val="center"/>
          <w:trHeight w:val="0"/>
        </w:trPr>
        <w:tc>
          <w:tcPr>
            <w:tcW w:w="168" w:type="pct"/>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33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蜡片柜、切片柜专用转运车</w:t>
            </w:r>
            <w:r/>
          </w:p>
        </w:tc>
        <w:tc>
          <w:tcPr>
            <w:tcW w:w="1427"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不锈钢材质  壁厚2.0</w:t>
            </w:r>
            <w:r/>
          </w:p>
        </w:tc>
        <w:tc>
          <w:tcPr>
            <w:tcW w:w="238"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2辆</w:t>
            </w:r>
            <w:r/>
          </w:p>
        </w:tc>
        <w:tc>
          <w:tcPr>
            <w:tcW w:w="142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498600" cy="1355090"/>
                      <wp:effectExtent l="0" t="0" r="6350" b="16510"/>
                      <wp:docPr id="6" name="图片 7" descr="39ea40467ffa6fab521765ae38feb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39ea40467ffa6fab521765ae38febec"/>
                              <pic:cNvPicPr>
                                <a:picLocks noChangeAspect="1"/>
                              </pic:cNvPicPr>
                              <pic:nvPr/>
                            </pic:nvPicPr>
                            <pic:blipFill>
                              <a:blip r:embed="rId17"/>
                              <a:stretch/>
                            </pic:blipFill>
                            <pic:spPr bwMode="auto">
                              <a:xfrm>
                                <a:off x="0" y="0"/>
                                <a:ext cx="1498600" cy="1355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0pt;height:106.7pt;mso-wrap-distance-left:0.0pt;mso-wrap-distance-top:0.0pt;mso-wrap-distance-right:0.0pt;mso-wrap-distance-bottom:0.0pt;" stroked="false">
                      <v:path textboxrect="0,0,0,0"/>
                      <v:imagedata r:id="rId17" o:title=""/>
                    </v:shape>
                  </w:pict>
                </mc:Fallback>
              </mc:AlternateContent>
            </w:r>
            <w:r/>
          </w:p>
        </w:tc>
        <w:tc>
          <w:tcPr>
            <w:tcW w:w="59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工业</w:t>
            </w:r>
            <w:r/>
          </w:p>
        </w:tc>
        <w:tc>
          <w:tcPr>
            <w:tcW w:w="40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否</w:t>
            </w:r>
            <w:r/>
          </w:p>
        </w:tc>
        <w:tc>
          <w:tcPr>
            <w:tcW w:w="39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否</w:t>
            </w:r>
            <w:r/>
          </w:p>
        </w:tc>
      </w:tr>
    </w:tbl>
    <w:p>
      <w:pPr>
        <w:pStyle w:val="799"/>
        <w:ind w:left="0"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、智能存储架技术参数</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密集架引用标准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13667.4-2013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钢制书架 第 4 部分：电动密集书架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699-2015   优质碳素结构钢</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711-2017  优质碳素结构钢热轧钢板和钢带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1720-2020   漆膜划圈试验</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1804-2000  一般公差 未注公差的线性和角度尺寸的公差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4357-2022   冷拉碳素弹簧钢丝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8162-2018   结构用无缝钢管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GB/T 9439-2023   灰铸铁件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HG/T 2239-2012   环氧酯底漆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密集架结构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架体强度高，架体稳定。摇动时无松动摇晃现象，边缘光滑无毛刺、焊接点打磨平整，表面喷涂光滑均匀平整。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密集架配有一套手动运行结构，密集架主要由立柱、搁板、侧板、侧面板、底盘等零部件组合而成。</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密集架按规定铺设轨道、安装传动机构、防倒装置等；</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密集架轨道采用膨胀螺栓安装，与地面齐平（埋入式）；</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密集架设置防尘、防鼠、防潮、防火和密封装置等。</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密集架制造工差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每标准节（组）组装后，外廓尺寸（长、宽、高）的极限偏差为±2mm；</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每标准节（组）组装后，侧面板与中腰板的对缝处的间隙小于2mm；</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密集架轨道安装后，其平行度的偏差不大于1mm/m，全长不大于2mm；同一截面上的平行度的偏差不大于1mm/m，全长不大于2mm；</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密集架每两条轨道的平行度偏差为小于2mm；导轨对接处高低差不大于0.2mm。</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密集架由段组成的底梁装配后的直线度不大于0.8mm/m，全长不大于2mm。</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零件的未注公差尺寸的极限偏差按GB/T 1804-2000（一般公差 未注公差的线性和角度尺寸的公差）。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密集架制造加工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所有钣金件，机加工后打磨毛刺、无裂缝、无伤痕；</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所有焊接件，焊接牢固，焊痕光滑、平整；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在一个组合之间的产品零部件能保持互换性。</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产品生产工艺过程，下料、冲压、轧压等工序全部达到模具化。零件组合焊接从轨道、立柱、底盘、封门的钻孔等工序，全部达到工装夹具化，以使产品具有优良的互换性和协调性。</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密集架传动装置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传动机构：转动灵活、平稳，没有失灵现象。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传动部件：采用精密轴承、摩托车链条（短节距精密滚子链），传动轴采用Ф20冷轧钢板（45#）和无缝钢管，中间驱动，双轴传动，开启移动灵活方便、摇力轻。密集架整组摇动时应运行自如，手感轻巧，摇手柄无打滑现象，手柄间不会联动。链轮采用HRC-62标准45#钢，锻压加工，回火，无毛刺，齿部经高频淬火。台车滚轮采用HT20-40铸铁，经加工成型。</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制动、防护及密封装置：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每列密集架均装有制动装置，于罩板中侧，开闭方便，开架查阅资料时，只需按下制动把手，架体便不会被他人移动，可有效保证查阅人员的人身安全。边架有门并装有锁具，用于整组密集架闭锁。摇把可折叠，以避免通行障碍。</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密集架必须有防倾倒装置。顶部上方必须有防水装置，顶板上方装有防尘板，列边采用机械式密封盒密封，密集架各列之间装有活动范围为15-20 mm的磁性密封装置，不会老化，合拢后无间缝，以起到防光、防尘作用，并起到缓冲作用。底架上装有防鼠条，配合磁性密封条使用。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密集架载重性能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搁板均布载重80kg。</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密集架标准节（六层、双面搁板）在全负载（每块搁板均布载重80kg）的情况下，架体、立板没有明显变形，架体不会产生倾倒现象。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抽屉载重60kg。</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全负载的情况下，各列密集架在手动操纵下运行自如，没有阻滞现象。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七</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密集架表面喷涂采用喷塑流水线作业。</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除油、去锈处理工艺：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件表面的油污、锈斑及氧化层，经化学法清除脱脂后，没有油脂、浮浊液等污物，其表面被水完全浸湿。酸洗后的工件，没有目视可见的氧化物、锈斑等腐蚀现象，其表面色泽基本均匀。塑粉要求采用流水线作业，乳化剂和碱性助剂脱脂，磷化酸除锈，锌化薄膜型磷化、钝化，最后粉末喷涂。55ºC-65ºC热水脱脂—冷水清洗—除锈—冷水清洗—中和—表调-35ºC-45ºC热磷化—冷水清洗—-55ºC-65ºC热钝化—静电亚光喷粉—180ºC固化而成，时间控制在10-15分钟范围内。</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磷化处理工艺：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①磷化处理主要采用浸渍法进行。</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②磷化处理以锌钙的磷酸二氢盐为主要成份溶液，经磷化槽液的配制、调整，按工艺规程要求进行。</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③磷化后的工件，采用流动水彻底清洗，提高工件表面的清洗质量，同时采用热的络酸溶液作封闭处理。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④工件经磷化、水洗后，采用烘干机处理干燥后方可喷塑。</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⑤经磷化处理后的工件与喷塑时间相隔一般不超过24小时。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⑥磷化处理必须按国家标准进行，喷塑工艺必须符合国家标准。表面喷塑后，</w:t>
      </w:r>
      <w:r>
        <w:rPr>
          <w:rFonts w:hint="eastAsia" w:ascii="宋体" w:hAnsi="宋体" w:cs="宋体"/>
          <w:color w:val="auto"/>
          <w:sz w:val="28"/>
          <w:szCs w:val="28"/>
          <w:highlight w:val="none"/>
          <w:lang w:eastAsia="zh-CN"/>
        </w:rPr>
        <w:t xml:space="preserve">光滑均匀，色泽一致，无流挂等现象</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磷化膜外观：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①磷化后工件的颜色为灰色，膜层结晶致密，连续和均匀。</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②膜层厚度一般控制为5微米。</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③磷化表面检验，采用检验溶液，观察滴液从天兰色变为淡黄色或淡红色，并在规定时间内不变色。成品转入喷塑工序。</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静电喷塑技术工艺：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塑粉经高频、高压静电设备喷涂固化成膜。固化温度控制在180℃，时间控制在10~15分钟范围内。</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颜色为国际灰，色泽一致，塑面均匀光滑、无划伤。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八</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密集架质量</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各零件、组合件、面光滑、平整，没有尖角、凸起。所有焊接件保证焊接牢固，焊痕光滑、平整，无砂眼、虚焊、明显焊瘤及飞溅物。每标准节组装后，外部尺寸的极限偏差为2mm。所有钣金件、机加件加工后应打磨毛刺，保证无裂痕、伤痕。所有紧固件需经氧化或镀锌处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颜色为国际灰，表面处理采用喷塑工艺，色泽一致，漆面均匀光滑、无划伤。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架体主要由底盘、传动机构和架体（包括立柱、挂板、搁板、顶板、门板及侧护板等）等部分组成。架顶设有防尘装置，具有良好的防尘功能；列与列之间装有抗老化橡塑磁性密封条，形成两列间的全封闭，门面列和中间移动列分别装有锁具和制动装置，每组密集架闭合后可用总锁锁住，形成一个封闭的整体，各列移开后可单独制动，确保人员安全，底部设有防鼠、防倾倒装置，因而整个架体具有良好的防尘、防鼠、防潮、防火、防盗和保密功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轨道：由轨道垫板和导轨组成，轨道垫板采用3.0mm冷轧钢板，轨道垫板采用数控折弯一体成型工艺，开放矩形结构，折边尺寸一致，表面光洁，成型标准化；导轨采用20x20实心方钢，方钢表面光滑，直线度高，轨道表面镀锌处理工艺。</w:t>
      </w:r>
      <w:r/>
    </w:p>
    <w:p>
      <w:pPr>
        <w:ind w:firstLine="562"/>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投标时须提供承诺函（格式自拟）加盖公章，承诺中标后供货时提供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CMA标识的轨道检测报告</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检测内容包括：可溶性金属（铅Pb、镉Cd、铬Cr、汞Hg均未检出）、硬度（≥5H）、附着力（≥0级）、耐碱性（≥260h无异常）、耐酸性（≥300h无异常）、耐湿热性（≥810h</w:t>
      </w:r>
      <w:r>
        <w:rPr>
          <w:rFonts w:hint="eastAsia" w:ascii="宋体" w:hAnsi="宋体" w:cs="宋体"/>
          <w:b/>
          <w:bCs/>
          <w:color w:val="auto"/>
          <w:sz w:val="28"/>
          <w:szCs w:val="28"/>
          <w:highlight w:val="none"/>
          <w:lang w:eastAsia="zh-CN"/>
        </w:rPr>
        <w:t xml:space="preserve">湿热试验后，产品表面无锈蚀、起泡、开裂、脱落等现象</w:t>
      </w:r>
      <w:r>
        <w:rPr>
          <w:rFonts w:hint="eastAsia" w:ascii="宋体" w:hAnsi="宋体" w:eastAsia="宋体" w:cs="宋体"/>
          <w:b/>
          <w:bCs/>
          <w:color w:val="auto"/>
          <w:sz w:val="28"/>
          <w:szCs w:val="28"/>
          <w:highlight w:val="none"/>
        </w:rPr>
        <w:t xml:space="preserve">）、涂层（应无漏喷、锈蚀和脱色、掉色现象；涂层应光滑均匀，色泽一致，应无流挂、疙瘩、皱皮、飞漆等缺陷）</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底盘：采用分段组合工艺，用材厚度为3.0mm优质冷轧钢板，一次成型，高度约120mm。轴承支架用材厚度为约3.0mm优质冷轧钢板，承重能力强；底盘采用分段焊接后整体组装式，连接牢固、运输、安装方便，底梁下设有防倾倒装置，底盘两端封头横梁与纵梁牢固焊接，在直角处上、下两平面均焊上三角形加强板，有效保证底盘架体不扭曲、错位、变形，密集架在轨移动轻便、平滑、平整。</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投标时须</w:t>
      </w:r>
      <w:r>
        <w:rPr>
          <w:rFonts w:hint="eastAsia" w:ascii="宋体" w:hAnsi="宋体" w:eastAsia="宋体" w:cs="宋体"/>
          <w:b/>
          <w:bCs/>
          <w:color w:val="auto"/>
          <w:sz w:val="28"/>
          <w:szCs w:val="28"/>
          <w:highlight w:val="none"/>
          <w:lang w:val="en-US" w:eastAsia="zh-CN"/>
        </w:rPr>
        <w:t xml:space="preserve">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CMA标识的底盘检测报告</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检测内容包括：硬度(≥4H)；附着力(不低于0级)；冲击</w:t>
      </w:r>
      <w:r>
        <w:rPr>
          <w:rFonts w:hint="eastAsia" w:ascii="宋体" w:hAnsi="宋体" w:cs="宋体"/>
          <w:b/>
          <w:bCs/>
          <w:color w:val="auto"/>
          <w:sz w:val="28"/>
          <w:szCs w:val="28"/>
          <w:highlight w:val="none"/>
          <w:lang w:eastAsia="zh-CN"/>
        </w:rPr>
        <w:t xml:space="preserve">强度</w:t>
      </w:r>
      <w:r>
        <w:rPr>
          <w:rFonts w:hint="eastAsia" w:ascii="宋体" w:hAnsi="宋体" w:eastAsia="宋体" w:cs="宋体"/>
          <w:b/>
          <w:bCs/>
          <w:color w:val="auto"/>
          <w:sz w:val="28"/>
          <w:szCs w:val="28"/>
          <w:highlight w:val="none"/>
        </w:rPr>
        <w:t xml:space="preserve">(冲击高度≥500mm，应无剥落、裂纹、皱纹)；表面工艺（涂层应无漏喷、锈蚀</w:t>
      </w:r>
      <w:r>
        <w:rPr>
          <w:rFonts w:hint="eastAsia" w:ascii="宋体" w:hAnsi="宋体" w:eastAsia="宋体" w:cs="宋体"/>
          <w:b/>
          <w:bCs/>
          <w:color w:val="auto"/>
          <w:sz w:val="28"/>
          <w:szCs w:val="28"/>
          <w:highlight w:val="none"/>
        </w:rPr>
        <w:t xml:space="preserve">和脱色、掉色现象；涂层应光滑均匀，色泽一致，应无流挂、 疙瘩、皱皮、飞漆等缺陷）；乙酸盐雾试验(ASS)（连续喷雾≥1008h，涂（镀）层本身的耐腐蚀等级≥8级；涂（镀）层对基体的保护等级≥8级）；中性盐雾试验(NSS)（连续喷雾≥1008h，涂（镀）层本身的耐腐蚀等级≥8级；涂（镀）层对基体的保护等级≥8级）；力学性能合格：规定塑性延伸强度：≥240Mpa，抗拉强度：≥380N/mm2，屈服强度：≥240N/mm2，断后伸长率：≥28%，；可溶性重金属（可迁移元素）铅、镉、铬、汞、锑、钡、硒、砷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传动机构：主要由精铸滚轮、传动轴、连接管、调心轴承、精密滚子摩托车链条，机械式自脱超越离合摇手体、精制链轮等零（部）件组成。为保证驱动任何一列均可轻便、平稳整体移动，采用中轴带动双轴传动方式，开启移动平稳、灵活、运转自如、无阻滞、不打滑、摇力轻，不得有失灵现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①传动轴：采用Φ20，45#实心圆钢，加工精度为≤3.2，经热处理调质。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②链轮：采用链轮为45#钢，经锻压精密加工成型，回火去除应力，加工车、滚齿、去毛齿、齿部经高频淬火。</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③轴承：采用P204 E级调心轴承，永久密封及润滑。主轴和轴承的直径≥φ20mm,45#钢。</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④链条：采用FR420 Φ8.5，节距12.7摩托车滚子链。</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立柱：采用1.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mm优质冷轧钢板，设计外形美观，结构新颖，承重能力强，钢性足。</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搁板（双压筋）：采用 ≥1.0mm优质冷轧钢板，采用折弯一体成形多筋式搁板，外形美观，结构新颖，刚性足，承重能力强。搁板正面压筋，使搁板即美观又能增加搁板承重强度，而且不影响搁板结构性能。满负载24小时后挠曲度≤2mm，卸载后自动恢复。表面采用酸洗磷化后进行喷塑处理，外形美观，色泽鲜亮，使基材不会腐蚀，经久耐用。</w:t>
      </w:r>
      <w:r/>
    </w:p>
    <w:p>
      <w:pPr>
        <w:ind w:firstLine="562"/>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投标时须提供承诺函（格式自拟）加盖公章，承诺中标后供货时提供有效期内的带 CMA标识的搁板（双压筋）检测报告，</w:t>
      </w:r>
      <w:r>
        <w:rPr>
          <w:rFonts w:hint="eastAsia" w:ascii="宋体" w:hAnsi="宋体" w:eastAsia="宋体" w:cs="宋体"/>
          <w:b/>
          <w:bCs/>
          <w:color w:val="auto"/>
          <w:sz w:val="28"/>
          <w:szCs w:val="28"/>
          <w:highlight w:val="none"/>
        </w:rPr>
        <w:t xml:space="preserve">检测内容包括：硬度(≥4H)；附着力(不低于0 级)；冲击强度(冲击高度≥500mm，应无剥落、裂纹、皱纹)；表面工艺（涂层应无漏喷、锈蚀</w:t>
      </w:r>
      <w:r>
        <w:rPr>
          <w:rFonts w:hint="eastAsia" w:ascii="宋体" w:hAnsi="宋体" w:eastAsia="宋体" w:cs="宋体"/>
          <w:b/>
          <w:bCs/>
          <w:color w:val="auto"/>
          <w:sz w:val="28"/>
          <w:szCs w:val="28"/>
          <w:highlight w:val="none"/>
        </w:rPr>
        <w:t xml:space="preserve">和脱色、掉色现象；涂层应光滑均匀，色泽一致，应无流挂、 疙瘩、皱皮、飞漆等缺陷）；乙酸盐雾试验(ASS)（连续喷雾≥1008h，涂（镀）层本身的耐腐蚀等级≥8级；涂（镀）层对基体的保护等级≥8级）；中性盐雾试验(NSS)（连续喷雾≥1008h，涂（镀）层本身的耐腐蚀等级≥8级；涂（镀）层对基体的保护等级≥8级）；力学性能合格：规定塑性延伸强度：≥240Mpa，抗拉强度：≥380N/mm2，屈服强度：≥240N/mm2，断后伸长率：≥28%，；可溶性重金属（可迁移元素）铅、镉、铬、汞、锑、钡、硒、砷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挂板（双压筋）: 采用 1.0mm优质冷轧钢板，数控一体冲压成型，挂板上下端直角折弯，并冲有凸槽，使搁板嵌置于弯边凸肩上，组装后平整、牢固。承重性好，外观新颖，可防止搁板前后窜动，通用性互换性好。</w:t>
      </w:r>
      <w:r/>
    </w:p>
    <w:p>
      <w:pPr>
        <w:ind w:firstLine="562"/>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投标时</w:t>
      </w:r>
      <w:r>
        <w:rPr>
          <w:rFonts w:hint="eastAsia" w:ascii="宋体" w:hAnsi="宋体" w:eastAsia="宋体" w:cs="宋体"/>
          <w:b/>
          <w:bCs/>
          <w:color w:val="auto"/>
          <w:sz w:val="28"/>
          <w:szCs w:val="28"/>
          <w:highlight w:val="none"/>
          <w:lang w:val="en-US" w:eastAsia="zh-CN"/>
        </w:rPr>
        <w:t xml:space="preserve">须提供承诺函（格式自拟）加盖公章，承诺中标后供货时提供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CMA标识的挂板（双压筋）检测报告</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检测内容包括：硬度(≥4H)；附着力(不低于0级)；冲击强度(冲击高度≥500mm，应无剥落、裂纹、皱纹)；表面工艺（涂层应无漏喷、锈蚀</w:t>
      </w:r>
      <w:r>
        <w:rPr>
          <w:rFonts w:hint="eastAsia" w:ascii="宋体" w:hAnsi="宋体" w:eastAsia="宋体" w:cs="宋体"/>
          <w:b/>
          <w:bCs/>
          <w:color w:val="auto"/>
          <w:sz w:val="28"/>
          <w:szCs w:val="28"/>
          <w:highlight w:val="none"/>
        </w:rPr>
        <w:t xml:space="preserve">和脱色、掉色现象；涂层应光滑均匀，色泽一致，应无流挂、 疙瘩、皱皮、飞漆等缺陷）；乙酸盐雾试验(ASS)（连续喷雾≥1008h，涂（镀）层本身的耐腐蚀等级≥8级；涂（镀）层对基体的保护等级≥8级）；中性盐雾试验(NSS)（连续喷雾≥1008h，涂（镀）层本身的耐腐蚀等级≥8级；涂（镀）层对基体的保护等级≥8级）；力学性能合格：规定塑性延伸强度：≥240Mpa，抗拉强度：≥380N/mm2，屈服强度：≥240N/mm2，断后伸长率：≥28%，；可溶性重金属（可迁移元素）铅、镉、铬、汞、锑、钡、硒、砷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顶板：采用 1.0mm冷轧钢板，数控一体成型工艺。</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投标时须提供承诺函（格式自拟）加盖公章，承诺中标后供货时提供</w:t>
      </w:r>
      <w:r>
        <w:rPr>
          <w:rFonts w:hint="eastAsia" w:ascii="宋体" w:hAnsi="宋体" w:eastAsia="宋体" w:cs="宋体"/>
          <w:b/>
          <w:bCs/>
          <w:color w:val="auto"/>
          <w:sz w:val="28"/>
          <w:szCs w:val="28"/>
          <w:highlight w:val="none"/>
        </w:rPr>
        <w:t xml:space="preserve">有效期内的带 C</w:t>
      </w:r>
      <w:r>
        <w:rPr>
          <w:rFonts w:hint="eastAsia" w:ascii="宋体" w:hAnsi="宋体" w:cs="宋体"/>
          <w:b/>
          <w:bCs/>
          <w:color w:val="auto"/>
          <w:sz w:val="28"/>
          <w:szCs w:val="28"/>
          <w:highlight w:val="none"/>
          <w:lang w:val="en-US" w:eastAsia="zh-CN"/>
        </w:rPr>
        <w:t xml:space="preserve">MA标识的顶板检测报告，检测内容包括：硬度(≥4H)；附着力(不低于0级)；冲击强度(冲击高</w:t>
      </w:r>
      <w:r>
        <w:rPr>
          <w:rFonts w:hint="eastAsia" w:ascii="宋体" w:hAnsi="宋体" w:eastAsia="宋体" w:cs="宋体"/>
          <w:b/>
          <w:bCs/>
          <w:color w:val="auto"/>
          <w:sz w:val="28"/>
          <w:szCs w:val="28"/>
          <w:highlight w:val="none"/>
        </w:rPr>
        <w:t xml:space="preserve">度≥500mm，应无剥落、裂纹、皱纹)；表面工艺（涂层应无漏喷、锈蚀</w:t>
      </w:r>
      <w:r>
        <w:rPr>
          <w:rFonts w:hint="eastAsia" w:ascii="宋体" w:hAnsi="宋体" w:eastAsia="宋体" w:cs="宋体"/>
          <w:b/>
          <w:bCs/>
          <w:color w:val="auto"/>
          <w:sz w:val="28"/>
          <w:szCs w:val="28"/>
          <w:highlight w:val="none"/>
        </w:rPr>
        <w:t xml:space="preserve">和脱色、掉色现象；涂层应光滑均匀，色泽一致，应无流挂、 疙瘩、皱皮、飞漆等缺陷）；乙酸盐雾试验(ASS)（连续喷雾≥1008h，涂（镀）层本身的耐腐蚀等级≥8级；涂（镀）层对基体的保护等级≥8级）；中性盐雾试验(NSS)（连续喷雾≥1008h，涂（镀）层本身的耐腐蚀等级≥8级；涂（镀）层对基体的保护等级≥8级）；力学性能合格：规定塑性延伸强度：≥240Mpa，抗拉强度：≥380N/mm2，屈服强度：≥240N/mm2，断后伸长率：≥28%，；可溶性重金属（可迁移元素）铅、镉、铬、汞、锑、钡、硒、砷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门板：采用 1.0mm冷轧钢板，采用数控折弯一体成型工艺，四面翻边结构，门面平整，背面整体感强。</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投标时须提供承诺函（格式自拟）加盖公章，承诺中标后供货时提供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CMA标识的门板检测报告</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检测内容包括：硬度(≥4H)；附着力(不低于0级)；冲击强度(冲击高度≥500mm，应无剥落、裂纹、皱纹)；表面工艺（涂层应无漏喷、锈蚀</w:t>
      </w:r>
      <w:r>
        <w:rPr>
          <w:rFonts w:hint="eastAsia" w:ascii="宋体" w:hAnsi="宋体" w:eastAsia="宋体" w:cs="宋体"/>
          <w:b/>
          <w:bCs/>
          <w:color w:val="auto"/>
          <w:sz w:val="28"/>
          <w:szCs w:val="28"/>
          <w:highlight w:val="none"/>
        </w:rPr>
        <w:t xml:space="preserve">和脱色、掉色现象；涂层应光滑均匀，色泽一致，应无流挂、 疙瘩、皱皮、飞漆等缺陷）；乙酸盐雾试验(ASS)（连续喷雾≥1008h，涂（镀）层本身的耐腐蚀等级≥8级；涂（镀）层对基体的保护等级≥8级）；中性盐雾试验(NSS)（连续喷雾≥1008h，涂（镀）层本身的耐腐蚀等级≥8级；涂（镀）层对基体的保护等级≥8级）；力学性能合格：规定塑性延伸强度：≥240Mpa，抗拉强度：≥380N/mm2，屈服强度：≥240N/mm2，断后伸长率：≥28%，；可溶性重金属（可迁移元素）铅、镉、铬、汞、锑、钡、硒、砷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锁具：采用密集架专用锁具。</w:t>
      </w:r>
      <w:r/>
    </w:p>
    <w:p>
      <w:pPr>
        <w:ind w:firstLine="562"/>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投标时须提供承诺函（格式自拟）加盖公章，承诺中标后供货时提供</w:t>
      </w:r>
      <w:r>
        <w:rPr>
          <w:rFonts w:hint="eastAsia" w:ascii="宋体" w:hAnsi="宋体" w:eastAsia="宋体" w:cs="宋体"/>
          <w:b/>
          <w:bCs/>
          <w:color w:val="auto"/>
          <w:sz w:val="28"/>
          <w:szCs w:val="28"/>
          <w:highlight w:val="none"/>
        </w:rPr>
        <w:t xml:space="preserve">有效期内的带 CMA</w:t>
      </w:r>
      <w:r>
        <w:rPr>
          <w:rFonts w:hint="eastAsia" w:ascii="宋体" w:hAnsi="宋体" w:cs="宋体"/>
          <w:b/>
          <w:bCs/>
          <w:color w:val="auto"/>
          <w:sz w:val="28"/>
          <w:szCs w:val="28"/>
          <w:highlight w:val="none"/>
          <w:lang w:val="en-US" w:eastAsia="zh-CN"/>
        </w:rPr>
        <w:t xml:space="preserve">标识的锁具检测</w:t>
      </w:r>
      <w:r>
        <w:rPr>
          <w:rFonts w:hint="eastAsia" w:ascii="宋体" w:hAnsi="宋体" w:eastAsia="宋体" w:cs="宋体"/>
          <w:b/>
          <w:bCs/>
          <w:color w:val="auto"/>
          <w:sz w:val="28"/>
          <w:szCs w:val="28"/>
          <w:highlight w:val="none"/>
        </w:rPr>
        <w:t xml:space="preserve">报告</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检测内容包括：硬度(≥4H)；可溶性重金属：可溶性铅、可溶性镉、可溶性铬、可溶性汞均未检出。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侧板：采用 1.0mm优质冷轧钢板。侧板采用凹凸式样，款式新颖、结构独特、造型美观，强度高，正面按压不变形。</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投标时须提供承诺函（格式自拟）加盖公章，承诺中标后供货时提供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CMA标识的侧板检测报告</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检测内容包括：硬度(≥4H)；附着力(不低于0级)；冲击强度(冲击高度≥500mm，应无剥落、裂纹、皱纹)；表面工艺（涂层应无漏喷、锈蚀</w:t>
      </w:r>
      <w:r>
        <w:rPr>
          <w:rFonts w:hint="eastAsia" w:ascii="宋体" w:hAnsi="宋体" w:eastAsia="宋体" w:cs="宋体"/>
          <w:b/>
          <w:bCs/>
          <w:color w:val="auto"/>
          <w:sz w:val="28"/>
          <w:szCs w:val="28"/>
          <w:highlight w:val="none"/>
        </w:rPr>
        <w:t xml:space="preserve">和脱色、掉色现象；涂层应光滑均匀，色泽一致，应无流挂、 疙瘩、皱皮、飞漆等缺陷）；乙酸盐雾试验(ASS)（连续喷雾≥1008h，涂（镀）层本身的耐腐蚀等级≥8级；涂（镀）层对基体的保护等级≥8级）；中性盐雾试验(NSS)（连续喷雾≥1008h，涂（镀）层本身的耐腐蚀等级≥8级；涂（镀）层对基体的保护等级≥8级）；力学性能合格：规定塑性延伸强度：≥240Mpa，抗拉强度：≥380N/mm2，屈服强度：≥240N/mm2，断后伸长率：≥28%，；可溶性重金属（可迁移元素）铅、镉、铬、汞、锑、钡、硒、砷均未检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防尘板：采用约1.2mm冷轧钢板具有良好的防尘、防鼠、防光、防潮、防火功能。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防倾倒装置：采用约3.5mm冷轧钢板冲压成型，该装置确保密集架在密集架运动过程中或静止状态下都能起到良好的防密集架倾倒的作用，从而确保人员、设备及财产安全。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密集架密封条：双磁性双边型固定一体式高强度橡胶密封条，外形尺寸宽40mm±2mm，厚度≥20mm，双磁性密封条中段采用四连体减震蜂窝结构，提升了密封条减震性能，前段自带双磁性矩形条，吸附能力更强，密集架合拢后，封闭性好。每列接触面均有缓冲及密封条，使架体具有良好的防震、防尘、防鼠、防光、防潮、防火功能。</w:t>
      </w:r>
      <w:r/>
    </w:p>
    <w:p>
      <w:pPr>
        <w:ind w:firstLine="562"/>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投标时须提供承诺函（格式自拟）加盖公章，承诺中标后供货时提供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CMA标识的密集架密封条检测报告</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检测内容包括：最大密度≤1.48g/cm3</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总承传动系统和摇手机构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总承传动系统：双向超越离合器结构原理，手柄自由挂档脱落装置，采用多次变速设计。链轮为机械精加工而成，经锻压加工成型，回火除应力，链条采用摩托车链条，节距12.7，滚珠轴承采用省力型。每列带有制动装置，边列带有总锁结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②摇手机构：摇手采用钢、锌合金或其它材料。手柄可折叠，美观大方，轻便灵活，高端耐用，可避免通道障碍，摇动任何一列，其它列的手柄保持静止不动，自动挂档设计，可单列或多列一起移动。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限位装置：防止密集架外列摇出轨道，保证使用安全。</w:t>
      </w:r>
      <w:r/>
    </w:p>
    <w:p>
      <w:pPr>
        <w:ind w:firstLine="562"/>
        <w:keepLines w:val="0"/>
        <w:keepNext w:val="0"/>
        <w:pageBreakBefore w:val="0"/>
        <w:spacing w:line="500" w:lineRule="exact"/>
        <w:rPr>
          <w:rFonts w:hint="eastAsia" w:ascii="宋体" w:hAnsi="宋体" w:eastAsia="宋体" w:cs="宋体"/>
          <w:color w:val="auto"/>
          <w:sz w:val="28"/>
          <w:szCs w:val="28"/>
          <w:highlight w:val="none"/>
          <w:lang w:val="en-US"/>
        </w:rPr>
      </w:pPr>
      <w:r>
        <w:rPr>
          <w:rFonts w:hint="eastAsia" w:ascii="宋体" w:hAnsi="宋体" w:cs="宋体"/>
          <w:b/>
          <w:bCs/>
          <w:color w:val="auto"/>
          <w:sz w:val="28"/>
          <w:szCs w:val="28"/>
          <w:highlight w:val="none"/>
          <w:lang w:val="en-US" w:eastAsia="zh-CN"/>
        </w:rPr>
        <w:t xml:space="preserve">投标时须</w:t>
      </w:r>
      <w:r>
        <w:rPr>
          <w:rFonts w:hint="eastAsia" w:ascii="宋体" w:hAnsi="宋体" w:eastAsia="宋体" w:cs="宋体"/>
          <w:b/>
          <w:bCs/>
          <w:color w:val="auto"/>
          <w:sz w:val="28"/>
          <w:szCs w:val="28"/>
          <w:highlight w:val="none"/>
          <w:lang w:val="en-US" w:eastAsia="zh-CN"/>
        </w:rPr>
        <w:t xml:space="preserve">提供承诺函（格式自拟）加盖公章，承诺中标后供货时提供</w:t>
      </w:r>
      <w:r>
        <w:rPr>
          <w:rFonts w:hint="eastAsia" w:ascii="宋体" w:hAnsi="宋体" w:eastAsia="宋体" w:cs="宋体"/>
          <w:b/>
          <w:bCs/>
          <w:color w:val="auto"/>
          <w:sz w:val="28"/>
          <w:szCs w:val="28"/>
          <w:highlight w:val="none"/>
        </w:rPr>
        <w:t xml:space="preserve">有效期内的带 CMA标识的限位装置检测报告</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检测内容包括：硬度(≥</w:t>
      </w:r>
      <w:r>
        <w:rPr>
          <w:rFonts w:hint="eastAsia" w:ascii="宋体" w:hAnsi="宋体" w:eastAsia="宋体" w:cs="宋体"/>
          <w:b/>
          <w:bCs/>
          <w:color w:val="auto"/>
          <w:sz w:val="28"/>
          <w:szCs w:val="28"/>
          <w:highlight w:val="none"/>
          <w:lang w:val="en-US" w:eastAsia="zh-CN"/>
        </w:rPr>
        <w:t xml:space="preserve">4H</w:t>
      </w:r>
      <w:r>
        <w:rPr>
          <w:rFonts w:hint="eastAsia" w:ascii="宋体" w:hAnsi="宋体" w:eastAsia="宋体" w:cs="宋体"/>
          <w:b/>
          <w:bCs/>
          <w:color w:val="auto"/>
          <w:sz w:val="28"/>
          <w:szCs w:val="28"/>
          <w:highlight w:val="none"/>
        </w:rPr>
        <w:t xml:space="preserve">)；附着力(不低于0 级)；冲击强度(冲击高度40cm，应无剥落、裂纹、皱纹)；</w:t>
      </w:r>
      <w:r>
        <w:rPr>
          <w:rFonts w:hint="eastAsia" w:ascii="宋体" w:hAnsi="宋体" w:cs="宋体"/>
          <w:b/>
          <w:bCs/>
          <w:color w:val="auto"/>
          <w:sz w:val="28"/>
          <w:szCs w:val="28"/>
          <w:highlight w:val="none"/>
          <w:lang w:eastAsia="zh-CN"/>
        </w:rPr>
        <w:t xml:space="preserve">表面工艺</w:t>
      </w:r>
      <w:r>
        <w:rPr>
          <w:rFonts w:hint="eastAsia" w:ascii="宋体" w:hAnsi="宋体" w:eastAsia="宋体" w:cs="宋体"/>
          <w:b/>
          <w:bCs/>
          <w:color w:val="auto"/>
          <w:sz w:val="28"/>
          <w:szCs w:val="28"/>
          <w:highlight w:val="none"/>
        </w:rPr>
        <w:t xml:space="preserve">（涂层应无漏喷、锈蚀和脱色、掉色现象；涂层应光滑均匀，色泽一致，应无流挂、 疙瘩、皱皮、飞漆等缺陷）。</w:t>
      </w:r>
      <w:r/>
    </w:p>
    <w:p>
      <w:pPr>
        <w:pStyle w:val="1062"/>
        <w:ind w:left="0" w:right="0" w:firstLine="562"/>
        <w:keepLines w:val="0"/>
        <w:keepNext w:val="0"/>
        <w:pageBreakBefore w:val="0"/>
        <w:spacing w:line="50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注：以上标</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项技术要求，项目交付时招标人保留抽样送检的权利，如检测不满足招标要求或与投标响应不一致，视为虚假应标。招标人拒收货物，中标人须无条件更换满足质量要求的设备并承担招标人的一切损失。</w:t>
      </w:r>
      <w:r/>
    </w:p>
    <w:p>
      <w:pPr>
        <w:pStyle w:val="1062"/>
        <w:ind w:left="0" w:right="0"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 xml:space="preserve">（九）密集架架体材质及性能</w:t>
      </w:r>
      <w:r/>
    </w:p>
    <w:tbl>
      <w:tblPr>
        <w:tblStyle w:val="71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56"/>
        <w:gridCol w:w="456"/>
        <w:gridCol w:w="765"/>
        <w:gridCol w:w="1176"/>
        <w:gridCol w:w="1646"/>
        <w:gridCol w:w="1901"/>
        <w:gridCol w:w="1316"/>
        <w:gridCol w:w="2235"/>
      </w:tblGrid>
      <w:tr>
        <w:trPr/>
        <w:tc>
          <w:tcPr>
            <w:shd w:val="clear" w:color="auto" w:fill="ffffff"/>
            <w:tcW w:w="22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设备装置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材料规格</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采用标准</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牌号</w:t>
            </w:r>
            <w:r/>
          </w:p>
        </w:tc>
        <w:tc>
          <w:tcPr>
            <w:shd w:val="clear" w:color="auto" w:fill="ffffff"/>
            <w:tcW w:w="112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性能说明</w:t>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轨道</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轨道座</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底盘采用整体焊接，钢性足，不变形，表面喷塑，分段式结构</w:t>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轨道</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实心方钢</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45#</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底盘</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底梁、轴承档、加紧块</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架体</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立柱</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全模具化设计，架体结实、坚固、设计新颖，安装规范，层数和间距自由调整，表面喷塑</w:t>
            </w:r>
            <w:r/>
          </w:p>
        </w:tc>
      </w:tr>
      <w:tr>
        <w:trPr>
          <w:trHeight w:val="173"/>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搁板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门面</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门框</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门面平整，款式新颖，表面亚光喷塑，配名牌锁具。</w:t>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门锁</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定位模块</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侧护板</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侧护板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门面平整，设计美观，表面亚光喷塑。</w:t>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防护装置</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防震、防尘装置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冰箱门吸条</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磁性密封条</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每列的接触面均有缓冲及密封装置，具有良好的防震、防尘、防鼠、防潮、防火功能。</w:t>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防尘板、防鼠板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防水顶板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防倾倒装置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2.5mm</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冷轧钢板</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SPCC</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传动装置</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轴承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P205</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E级双排滚珠</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GB1285</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精密度高，万向灵活，材料质量好，耐压与耐磨性能好</w:t>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实心轴</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Ф25</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调质45#钢</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GB699</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45#</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传动机构配合精度高，定位可靠。传动轻便灵活，摇手轻，运行平稳，性能达到和超过国家标准。传动速比1：8。</w:t>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连接钢管</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Ф25*2.5</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无缝钢管</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GB699</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45#</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铁滚轮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HT20-40铸铁</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灰铸铁</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GB9439</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HT250</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链轮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ZG45</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滚轮精致</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GB1135</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链条</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FR420</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Ф8.5节距12.7</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GB1244/G1243.1</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摇手体总成</w:t>
            </w:r>
            <w:r/>
          </w:p>
        </w:tc>
        <w:tc>
          <w:tcPr>
            <w:shd w:val="clear" w:color="auto" w:fill="ffffff"/>
            <w:tcW w:w="38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摇手体</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ZG45</w:t>
            </w:r>
            <w:r/>
          </w:p>
        </w:tc>
        <w:tc>
          <w:tcPr>
            <w:shd w:val="clear" w:color="auto" w:fill="ffffff"/>
            <w:tcW w:w="827"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双向超越离合器结构</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国优品牌</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造型美观大方，手感舒适，把手为折叠式，可避免通道障碍，摇动任意一列均不会带其他把手。</w:t>
            </w:r>
            <w:r/>
          </w:p>
        </w:tc>
      </w:tr>
      <w:tr>
        <w:trPr>
          <w:trHeight w:val="1255"/>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38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滚珠轴承</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827"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哈尔滨轴承厂</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制动装置</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侧列锁定装置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808锁</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密集柜专用锁</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每列均装有制动装置，磁性密封条，操作方便，制动可靠，使用存取安全。</w:t>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中列制动装置</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ABS专用滑块</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表面处理</w:t>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高压静电喷塑</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环氧型聚脂混合粉</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HYBRID</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restar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前处理药剂</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ZN系磷化</w:t>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FRE-9001E</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229" w:type="pct"/>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ffffff"/>
            <w:tcW w:w="613"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纯水洗</w:t>
            </w:r>
            <w:r/>
          </w:p>
        </w:tc>
        <w:tc>
          <w:tcPr>
            <w:shd w:val="clear" w:color="auto" w:fill="ffffff"/>
            <w:tcW w:w="5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2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电导率≤10μs</w:t>
            </w:r>
            <w:r/>
          </w:p>
        </w:tc>
        <w:tc>
          <w:tcPr>
            <w:shd w:val="clear" w:color="auto" w:fill="ffffff"/>
            <w:tcW w:w="955"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常温</w:t>
            </w:r>
            <w:r/>
          </w:p>
        </w:tc>
        <w:tc>
          <w:tcPr>
            <w:shd w:val="clear" w:color="auto" w:fill="ffffff"/>
            <w:tcW w:w="661"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1123" w:type="pct"/>
            <w:vAlign w:val="center"/>
            <w:vMerge w:val="continue"/>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（十）智能部分功能要求</w:t>
      </w:r>
      <w:r/>
    </w:p>
    <w:tbl>
      <w:tblPr>
        <w:tblStyle w:val="712"/>
        <w:tblpPr w:horzAnchor="page" w:tblpX="1216" w:vertAnchor="text" w:tblpY="75" w:leftFromText="180" w:topFromText="0" w:rightFromText="180" w:bottomFromText="0"/>
        <w:tblW w:w="50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756"/>
        <w:gridCol w:w="7551"/>
      </w:tblGrid>
      <w:tr>
        <w:trPr>
          <w:trHeight w:val="895"/>
        </w:trPr>
        <w:tc>
          <w:tcPr>
            <w:shd w:val="clear" w:color="auto" w:fill="d9d9d9"/>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line="340" w:lineRule="exact"/>
              <w:widowControl w:val="off"/>
              <w:tabs>
                <w:tab w:val="center" w:pos="4153" w:leader="none"/>
                <w:tab w:val="right" w:pos="8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功能</w:t>
            </w:r>
            <w:r/>
          </w:p>
        </w:tc>
        <w:tc>
          <w:tcPr>
            <w:shd w:val="clear" w:color="auto" w:fill="d9d9d9"/>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40" w:lineRule="exact"/>
              <w:widowControl w:val="off"/>
              <w:tabs>
                <w:tab w:val="center" w:pos="4153" w:leader="none"/>
                <w:tab w:val="right" w:pos="8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要求</w:t>
            </w:r>
            <w:r/>
          </w:p>
        </w:tc>
        <w:tc>
          <w:tcPr>
            <w:shd w:val="clear" w:color="auto" w:fill="d9d9d9"/>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2"/>
              <w:jc w:val="center"/>
              <w:keepLines w:val="0"/>
              <w:keepNext w:val="0"/>
              <w:pageBreakBefore w:val="0"/>
              <w:spacing w:line="340" w:lineRule="exact"/>
              <w:widowControl w:val="off"/>
              <w:tabs>
                <w:tab w:val="center" w:pos="4153" w:leader="none"/>
                <w:tab w:val="right" w:pos="8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tc>
      </w:tr>
      <w:tr>
        <w:trPr>
          <w:trHeight w:val="895"/>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驱动电机终身免费更换。从技术上确保免费维护承诺及质量保证，应采用嵌入式控制方式，低压直流电机驱动，红外传感器应采用自主研发技术开发方案。</w:t>
            </w:r>
            <w:r/>
          </w:p>
        </w:tc>
      </w:tr>
      <w:tr>
        <w:trPr>
          <w:trHeight w:val="895"/>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人机交互</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固定列主控屏应采用12.1寸及以上彩色液晶电容触摸屏操作，活动列采用7寸彩色液晶触摸屏控制。</w:t>
            </w:r>
            <w:r/>
          </w:p>
          <w:p>
            <w:pPr>
              <w:pStyle w:val="730"/>
              <w:ind w:left="0" w:right="0" w:firstLine="480"/>
              <w:keepLines w:val="0"/>
              <w:keepNext w:val="0"/>
              <w:pageBreakBefore w:val="0"/>
              <w:spacing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可通过密集架触摸屏控制密集架的移动，停止，禁止，解除操作。</w:t>
            </w:r>
            <w:r/>
          </w:p>
        </w:tc>
      </w:tr>
      <w:tr>
        <w:trPr>
          <w:trHeight w:val="895"/>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语音控制功能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固定列具备在离线状态下支持语音控制架体打开，关闭，打开电源关闭电源等操作，识别灵敏度高。</w:t>
            </w:r>
            <w:r/>
          </w:p>
        </w:tc>
      </w:tr>
      <w:tr>
        <w:trPr>
          <w:trHeight w:val="895"/>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固定列控制系统</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固定列系统采用12.1寸工控系统方案，不应采用不安全的安卓LINUX或其它系统以保证档案数据的安全性，触摸屏外观银色金属边框美观大方，采用电容触摸技术灵敏迅速。</w:t>
            </w:r>
            <w:r/>
          </w:p>
        </w:tc>
      </w:tr>
      <w:tr>
        <w:trPr>
          <w:trHeight w:val="895"/>
        </w:trPr>
        <w:tc>
          <w:tcPr>
            <w:tcBorders>
              <w:top w:val="single" w:color="auto" w:sz="4" w:space="0"/>
              <w:left w:val="single" w:color="auto" w:sz="4" w:space="0"/>
              <w:bottom w:val="single" w:color="auto" w:sz="4" w:space="0"/>
              <w:right w:val="single" w:color="auto" w:sz="4" w:space="0"/>
            </w:tcBorders>
            <w:tcW w:w="335" w:type="pct"/>
            <w:vAlign w:val="center"/>
            <w:vMerge w:val="restart"/>
            <w:textDirection w:val="lrTb"/>
            <w:noWrap w:val="false"/>
          </w:tcPr>
          <w:p>
            <w:pPr>
              <w:ind w:left="0" w:right="0"/>
              <w:jc w:val="both"/>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架体基本功能</w:t>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电源开机顺序上电功能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在系统刚启动时电源采用顺序上电方式，防止多个电源同时上电引起功率过大。</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手写输入功能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固定列显示屏具备手写输入关键字方式查询档案信息。</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驱动电机</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驱动电机应采用24V直流200W带测速装置电机，保证电机运行过程中不会因为失速而造成的不安全因素。</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触摸屏外观</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移动列屏幕应采用塑料外壳，固定列屏幕采用金属银色拉丝边框，密集架整体显得美观大方。</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柜体运行</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柜体运行运行时应平稳有度，速度不会产生明显变化，保证档案的稳定性。</w:t>
            </w:r>
            <w:r/>
          </w:p>
          <w:p>
            <w:pPr>
              <w:pStyle w:val="730"/>
              <w:ind w:left="0" w:right="0" w:firstLine="480"/>
              <w:keepLines w:val="0"/>
              <w:keepNext w:val="0"/>
              <w:pageBreakBefore w:val="0"/>
              <w:spacing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柜体运行的速度可通过移动列触摸屏实时进行修改。</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移动时点击任意触摸屏能及时停止。</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系统配件</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架体控制部分应考虑美观和用电安全，每个控制板都应有独立的外壳摸具。</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语音提示</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操作过程应有语音播报提示，可设置语音音量。</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照明灯自动控制</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LED照明灯采用智能控制模式，架体打开时人进入灯光点亮，人员离开后延时一定时间灯光自动熄灭，也可在移动列触摸屏上打开照明灯。</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远程公告信息发布功能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在服务器软件端远程公告编辑框内输入要发布的内容，固定列端自动弹出要显示的内容。</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环境数据查看</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环境数据温度，湿度，可在固定列，移动列显示屏实时展示，并可查看温湿度报表和曲线。</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智能设备控制功能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在智能设备端可远程控制，档案扫描，档案多条件查询，库房环境状态显示，密集架状态显示，条码扫描</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到位开关失效保护</w:t>
            </w:r>
            <w:r/>
          </w:p>
        </w:tc>
        <w:tc>
          <w:tcPr>
            <w:tcBorders>
              <w:top w:val="single" w:color="auto" w:sz="4" w:space="0"/>
              <w:left w:val="single" w:color="auto" w:sz="4" w:space="0"/>
              <w:bottom w:val="single" w:color="auto" w:sz="4" w:space="0"/>
              <w:right w:val="single" w:color="auto" w:sz="4" w:space="0"/>
            </w:tcBorders>
            <w:tcW w:w="3784" w:type="pct"/>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在活动列到位开关失效情况下，当活动列接近关闭时，活动列可自动停止运行。</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运行超时保护</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可通过移动列触摸屏实时设置超时时间，当电机运行超过设定值时，电机自动停止。</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手电动互换功能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停电或断电等紧急状态自动切换成手动功能</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左右双开功能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具备左动、右动及左右动双开架体功能，当固定列在中间时，允许左右两侧架体同时进行打开操作。</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移动列电机电源单独上电</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每个活动列控制板支持电机电源顺序上电,防止起动电流过大引起跳闸或线路烧坏。</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自动通风功能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自动通风：当在固定列点击通风按钮时架体能依次进行通风，间隔时间可在固定列设置。 </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自检提示功能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在固定列显示屏上能显示某些故障(如电机,红外线,开关等)并显示故障点的列号和故障原因</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移动列控制按键</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控制该列的左右移动及停止</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线路连接杆</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每两列间顶上的线路铁杆（折叠状）用于隐藏线路或坦克连</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架顶照明灯</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采用高亮冷光LED照明系统随架体过道开启而自动打开</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到位开关</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当单个架体移动到位后,由自身到位检测装置使其停止移动;当通道完全打开后,照明灯继续亮，这表示此通道现处于禁止移动状态,任何方式打开都无效。</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温湿探头</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在固定列上：智能化温湿度测控，从密集架固定列中的温湿度传感器自动采集来的温度和湿度值，同时在移动列上显示温湿度数据</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红外线保护</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密集架设置了两道红外线进行保护，双道进门红外线，即当操作人员进入通道时，触发进门红外线动作，使密集架处于“禁止移动”状态，以提高其可靠性。</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低电压操作电气保护</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集架采用低电压进行操作和控制，电机采用24V直流低电压传动，其它控制电压均为24V及以下直流电压，无火花操作，为确保安全，电源线对地的绝缘电阻大于50MΩ，完全符合日用电器安全要求，同时，还采用了电源浮空措施和防触电开关，保证人身安全。</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漏电保护</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当密集架由于某种原因对地漏电(触电)时,装在固定列上的漏电(触电)保护开关自动切断电源。</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活动列通讯</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采用ISO国际标准化的CAN</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"https://baike.baidu.com/item/ä¸²è¡éä¿¡åè®®" \t "https://baike.baidu.com/item/CAN%E6%80%BB%E7%BA%BF/_blank" </w:instrText>
            </w:r>
            <w:r>
              <w:rPr>
                <w:rFonts w:hint="eastAsia" w:ascii="宋体" w:hAnsi="宋体" w:eastAsia="宋体" w:cs="宋体"/>
                <w:color w:val="auto"/>
                <w:sz w:val="24"/>
                <w:szCs w:val="24"/>
                <w:highlight w:val="none"/>
              </w:rPr>
              <w:fldChar w:fldCharType="separate"/>
            </w:r>
            <w:r>
              <w:rPr>
                <w:rStyle w:val="747"/>
                <w:rFonts w:hint="eastAsia" w:ascii="宋体" w:hAnsi="宋体" w:eastAsia="宋体" w:cs="宋体"/>
                <w:color w:val="auto"/>
                <w:sz w:val="24"/>
                <w:szCs w:val="24"/>
                <w:highlight w:val="none"/>
                <w:u w:val="none"/>
                <w:shd w:val="clear" w:color="auto" w:fill="ffffff"/>
              </w:rPr>
              <w:t xml:space="preserve">串行通信协议</w:t>
            </w:r>
            <w:r>
              <w:rPr>
                <w:rStyle w:val="747"/>
                <w:rFonts w:hint="eastAsia" w:ascii="宋体" w:hAnsi="宋体" w:eastAsia="宋体" w:cs="宋体"/>
                <w:color w:val="auto"/>
                <w:sz w:val="24"/>
                <w:szCs w:val="24"/>
                <w:highlight w:val="none"/>
                <w:u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。出于对稳定性，安全性，实时性，通过多个LAN，可以进行大量数据的高速通信。密集架操作时真正达到0延迟提高用户操作体验。</w:t>
            </w:r>
            <w:r/>
          </w:p>
        </w:tc>
      </w:tr>
      <w:tr>
        <w:trPr>
          <w:trHeight w:val="491"/>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自动锁定，防误操作保护</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当密集架打开移动到设定位置后，顶部的照明灯（兼作安全灯）点亮，密集架停止，在未将此灯熄灭前，任何操作都不能使密集架移动，以防误操作伤人损物。可按任何一个按钮解除锁定。</w:t>
            </w:r>
            <w:r/>
          </w:p>
        </w:tc>
      </w:tr>
      <w:tr>
        <w:trPr>
          <w:trHeight w:val="567"/>
        </w:trPr>
        <w:tc>
          <w:tcPr>
            <w:tcBorders>
              <w:top w:val="single" w:color="auto"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活动列控制系统</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shd w:val="clear" w:color="auto" w:fill="ffffff"/>
              </w:rPr>
              <w:t xml:space="preserve">高性能、低功耗的嵌入式应用专门设计的ARM Cortex-M3内核</w:t>
            </w:r>
            <w:r>
              <w:rPr>
                <w:rFonts w:hint="eastAsia" w:ascii="宋体" w:hAnsi="宋体" w:eastAsia="宋体" w:cs="宋体"/>
                <w:color w:val="auto"/>
                <w:sz w:val="24"/>
                <w:szCs w:val="24"/>
                <w:highlight w:val="none"/>
              </w:rPr>
              <w:t xml:space="preserve">控制系统，抗干扰能力强，易控制，易扩展，对环境的依赖性低，故障率低。</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多任务取档功能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在服务器上选择要操作的档案，可以以加入任务列表形式加入，在固定列系统上，可以点击获取任务获得要操作的档案，执行完毕此任务后会自动从任务列表中移出任务。</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图形化显示每列架体到位状态</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在固定列上可以一目了然的观测到每个活动列的到位状态。</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在线数据导入导出功能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在档案管理软件端集成数据管理工具可方便动态的导入导出数据</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报警记录功能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密集架系统发生异常报警会记录报警时间，报警内容，以供客户查看分析操作记录</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用户权限管理功能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在密集架系统管理软件上可以动态的添加用户，删除用户，配置用户权限，以便多用户同时管理档案的需求</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大数据导入导出功能</w:t>
            </w:r>
            <w:r/>
          </w:p>
        </w:tc>
        <w:tc>
          <w:tcPr>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密集架系统具备大数据导入功能，可以一次性导入庞大数据，软件采用多线程技术，导入速度快，方便用户解决二次录入的烦恼。</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休眠状态</w:t>
            </w:r>
            <w:r/>
          </w:p>
        </w:tc>
        <w:tc>
          <w:tcPr>
            <w:tcBorders>
              <w:top w:val="single" w:color="auto" w:sz="4" w:space="0"/>
              <w:left w:val="single" w:color="auto" w:sz="4" w:space="0"/>
              <w:bottom w:val="single" w:color="auto" w:sz="4" w:space="0"/>
              <w:right w:val="single" w:color="auto" w:sz="4" w:space="0"/>
            </w:tcBorders>
            <w:tcW w:w="3784" w:type="pct"/>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应可设置智能密集架休眠时间，休眠状态下，移动列应220V断电，以保证节能效果及用电安全。</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蜡片、切片、档案门类管理</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用于用户自定义蜡片、切片、档案存储表结构，提供蜡片分类存储功能，包括添加蜡片分类、添加蜡片门类、蜡片表设计、修改、删除、刷新等 </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蜡片、切片、档案著录</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用于文件蜡片、切片、档案信息管理,包括新增文件，修改文件，刪除文件，查看文件，借阅文件</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蜡片、切片、档案查询</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用于条件组合查询字查询蜡片、切片、档案，查询支持模糊与精确查找两种方式</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蜡片、切片、档案信息导出</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把系统中已有的蜡片、切片、档案信息导出到Excel文件中</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蜡片、切片、档案信息导入</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用于把外部Excel表格里的蜡片、切片、档案数据按约定的格式导入到系统中</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蜡片、切片、档案借阅</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可以接收和配置出入库任务申请单进行下发，自动排序到每一个区域，配合手持机进行上下架</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手动修改蜡片、切片、档案存位</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用于手动给每一份蜡片、切片、档案指定在存储架等装具上的存放位置</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开架队列</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用于手动把选中的蜡片、切片、档案放入系统开架队列中去，查看开架队列中的所有任务，提供开架队列任务删除操作</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存储架架体管理</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用于远程对库房里的存储架进行锁定、解锁、停止、向左移动、向右移动、通风、闭架、获取温度湿度、获取存储架实时运行状态、获取存储架列到位状态等、打开蜡片所在架体</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系统管理</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用于查看、删除系统自动记录的日志，日志主要包括、用户登录、退出、蜡片录入、蜡片借阅、蜡片归还、蜡片操作、系统异常</w:t>
            </w:r>
            <w:r/>
          </w:p>
        </w:tc>
      </w:tr>
      <w:tr>
        <w:trPr>
          <w:trHeight w:val="286"/>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接口管理</w:t>
            </w:r>
            <w:r/>
          </w:p>
        </w:tc>
        <w:tc>
          <w:tcPr>
            <w:shd w:val="clear" w:color="auto" w:fill="auto"/>
            <w:tcBorders>
              <w:top w:val="single" w:color="auto" w:sz="4" w:space="0"/>
              <w:left w:val="single" w:color="auto" w:sz="4" w:space="0"/>
              <w:bottom w:val="single" w:color="auto" w:sz="4" w:space="0"/>
              <w:right w:val="single" w:color="auto" w:sz="4" w:space="0"/>
            </w:tcBorders>
            <w:tcW w:w="3784" w:type="pct"/>
            <w:vAlign w:val="center"/>
            <w:textDirection w:val="lrTb"/>
            <w:noWrap w:val="false"/>
          </w:tcPr>
          <w:p>
            <w:pPr>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提供以固定列主机为控制单元的存储架与计算进行通信的标准接口，包括实现架体移动等控制功能的接口，查询架体状态的接口，导引蜡片、切片、档案存放位置的接口，以及其他存储架管理所需要的接口。</w:t>
            </w:r>
            <w:r/>
          </w:p>
        </w:tc>
      </w:tr>
    </w:tbl>
    <w:p>
      <w:pPr>
        <w:numPr>
          <w:ilvl w:val="0"/>
          <w:numId w:val="0"/>
        </w:numPr>
        <w:ind w:right="0"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（十一）</w:t>
      </w:r>
      <w:r>
        <w:rPr>
          <w:rFonts w:hint="eastAsia" w:ascii="宋体" w:hAnsi="宋体" w:cs="宋体"/>
          <w:b/>
          <w:bCs/>
          <w:color w:val="auto"/>
          <w:sz w:val="28"/>
          <w:szCs w:val="28"/>
          <w:highlight w:val="none"/>
          <w:lang w:eastAsia="zh-CN"/>
        </w:rPr>
        <w:t xml:space="preserve">蜡片柜</w:t>
      </w:r>
      <w:r>
        <w:rPr>
          <w:rFonts w:hint="eastAsia" w:ascii="宋体" w:hAnsi="宋体" w:eastAsia="宋体" w:cs="宋体"/>
          <w:b/>
          <w:bCs/>
          <w:color w:val="auto"/>
          <w:sz w:val="28"/>
          <w:szCs w:val="28"/>
          <w:highlight w:val="none"/>
        </w:rPr>
        <w:t xml:space="preserve">材质及性能</w:t>
      </w:r>
      <w:r/>
    </w:p>
    <w:tbl>
      <w:tblPr>
        <w:tblStyle w:val="712"/>
        <w:tblW w:w="47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21"/>
        <w:gridCol w:w="1176"/>
        <w:gridCol w:w="1646"/>
        <w:gridCol w:w="1901"/>
        <w:gridCol w:w="1316"/>
        <w:gridCol w:w="2235"/>
      </w:tblGrid>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设备装置</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材料规格</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采用标准</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牌号</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性能说明</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抽斗</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0.8mm</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冷轧钢板</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抽拉顺滑</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插槽</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0.8mm</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冷轧钢板</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GB/T 711-2017</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柜体</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0.8mm</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冷轧钢板</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GB/T 711-2017</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脱脂除油、表调、锌系磷化、纯化 ，粉末喷涂 。</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拉手</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塑料</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ABS</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标签框</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1646"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冷轧钢板</w:t>
            </w:r>
            <w:r/>
          </w:p>
        </w:tc>
        <w:tc>
          <w:tcPr>
            <w:shd w:val="clear" w:color="auto" w:fill="ffffff"/>
            <w:tcW w:w="1901" w:type="dxa"/>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GB/T 711-2017</w:t>
            </w:r>
            <w:r/>
          </w:p>
        </w:tc>
        <w:tc>
          <w:tcPr>
            <w:shd w:val="clear" w:color="auto" w:fill="ffffff"/>
            <w:tcW w:w="1316" w:type="dxa"/>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一体化冲压成型</w:t>
            </w:r>
            <w:r/>
          </w:p>
        </w:tc>
      </w:tr>
    </w:tbl>
    <w:p>
      <w:pPr>
        <w:numPr>
          <w:ilvl w:val="0"/>
          <w:numId w:val="0"/>
        </w:numPr>
        <w:ind w:left="0" w:right="0"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二</w:t>
      </w: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eastAsia="zh-CN"/>
        </w:rPr>
        <w:t xml:space="preserve">切片柜柜</w:t>
      </w:r>
      <w:r>
        <w:rPr>
          <w:rFonts w:hint="eastAsia" w:ascii="宋体" w:hAnsi="宋体" w:eastAsia="宋体" w:cs="宋体"/>
          <w:b/>
          <w:bCs/>
          <w:color w:val="auto"/>
          <w:sz w:val="28"/>
          <w:szCs w:val="28"/>
          <w:highlight w:val="none"/>
        </w:rPr>
        <w:t xml:space="preserve">材质及性能</w:t>
      </w:r>
      <w:r/>
    </w:p>
    <w:tbl>
      <w:tblPr>
        <w:tblStyle w:val="712"/>
        <w:tblW w:w="47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21"/>
        <w:gridCol w:w="1176"/>
        <w:gridCol w:w="1646"/>
        <w:gridCol w:w="1901"/>
        <w:gridCol w:w="1316"/>
        <w:gridCol w:w="2235"/>
      </w:tblGrid>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设备装置</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材料规格</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采用标准</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牌号</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性能说明</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抽斗</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0.8mm</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冷轧钢板</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GB/T 711-2017</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抽拉顺滑</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插槽</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0.8mm</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冷轧钢板</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GB/T 711-2017</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柜体</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0.8mm</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冷轧钢板</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GB/T 711-2017</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脱脂除油、表调、锌系磷化、纯化 ，粉末喷涂 。</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拉手</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塑料</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ABS</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标签框</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1646"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冷轧钢板</w:t>
            </w:r>
            <w:r/>
          </w:p>
        </w:tc>
        <w:tc>
          <w:tcPr>
            <w:shd w:val="clear" w:color="auto" w:fill="ffffff"/>
            <w:tcW w:w="1901" w:type="dxa"/>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GB/T 711-2017</w:t>
            </w:r>
            <w:r/>
          </w:p>
        </w:tc>
        <w:tc>
          <w:tcPr>
            <w:shd w:val="clear" w:color="auto" w:fill="ffffff"/>
            <w:tcW w:w="1316"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SPCC</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一体化冲压成型</w:t>
            </w:r>
            <w:r/>
          </w:p>
        </w:tc>
      </w:tr>
    </w:tbl>
    <w:p>
      <w:pPr>
        <w:numPr>
          <w:ilvl w:val="0"/>
          <w:numId w:val="0"/>
        </w:numPr>
        <w:ind w:left="0" w:right="0"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蜡片柜、切片柜专用转运车</w:t>
      </w:r>
      <w:r>
        <w:rPr>
          <w:rFonts w:hint="eastAsia" w:ascii="宋体" w:hAnsi="宋体" w:eastAsia="宋体" w:cs="宋体"/>
          <w:b/>
          <w:bCs/>
          <w:color w:val="auto"/>
          <w:sz w:val="28"/>
          <w:szCs w:val="28"/>
          <w:highlight w:val="none"/>
        </w:rPr>
        <w:t xml:space="preserve">材质及性能</w:t>
      </w:r>
      <w:r/>
    </w:p>
    <w:tbl>
      <w:tblPr>
        <w:tblStyle w:val="712"/>
        <w:tblW w:w="47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21"/>
        <w:gridCol w:w="1176"/>
        <w:gridCol w:w="1646"/>
        <w:gridCol w:w="1901"/>
        <w:gridCol w:w="1316"/>
        <w:gridCol w:w="2235"/>
      </w:tblGrid>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设备装置</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材料规格</w:t>
            </w:r>
            <w:r/>
          </w:p>
        </w:tc>
        <w:tc>
          <w:tcPr>
            <w:shd w:val="clear" w:color="auto" w:fill="ffffff"/>
            <w:tcW w:w="86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shd w:val="clear" w:color="auto" w:fill="ffffff"/>
            <w:tcW w:w="100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采用标准</w:t>
            </w:r>
            <w:r/>
          </w:p>
        </w:tc>
        <w:tc>
          <w:tcPr>
            <w:shd w:val="clear" w:color="auto" w:fill="ffffff"/>
            <w:tcW w:w="69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牌号</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性能说明</w:t>
            </w:r>
            <w:r/>
          </w:p>
        </w:tc>
      </w:tr>
      <w:tr>
        <w:trPr/>
        <w:tc>
          <w:tcPr>
            <w:shd w:val="clear" w:color="auto" w:fill="ffffff"/>
            <w:tcW w:w="64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车体</w:t>
            </w:r>
            <w:r/>
          </w:p>
        </w:tc>
        <w:tc>
          <w:tcPr>
            <w:shd w:val="clear" w:color="auto" w:fill="ffffff"/>
            <w:tcW w:w="61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shd w:val="clear" w:color="auto" w:fill="ffffff"/>
            <w:tcW w:w="1646"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不锈钢</w:t>
            </w:r>
            <w:r/>
          </w:p>
        </w:tc>
        <w:tc>
          <w:tcPr>
            <w:shd w:val="clear" w:color="auto" w:fill="ffffff"/>
            <w:tcW w:w="1901"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GB/T 3280-2015</w:t>
            </w:r>
            <w:r/>
          </w:p>
        </w:tc>
        <w:tc>
          <w:tcPr>
            <w:shd w:val="clear" w:color="auto" w:fill="ffffff"/>
            <w:tcW w:w="1316" w:type="dxa"/>
            <w:vAlign w:val="center"/>
            <w:textDirection w:val="lrTb"/>
            <w:noWrap w:val="false"/>
          </w:tcPr>
          <w:p>
            <w:pPr>
              <w:ind w:left="0" w:right="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304</w:t>
            </w:r>
            <w:r/>
          </w:p>
        </w:tc>
        <w:tc>
          <w:tcPr>
            <w:shd w:val="clear" w:color="auto" w:fill="ffffff"/>
            <w:tcW w:w="117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jc w:val="left"/>
        <w:widowControl/>
        <w:rPr>
          <w:b/>
          <w:bCs/>
          <w:color w:val="auto"/>
          <w:sz w:val="32"/>
          <w:szCs w:val="32"/>
          <w:highlight w:val="none"/>
        </w:rPr>
        <w:sectPr>
          <w:footerReference w:type="default" r:id="rId12"/>
          <w:footnotePr/>
          <w:endnotePr/>
          <w:type w:val="nextPage"/>
          <w:pgSz w:w="11906" w:h="16840" w:orient="portrait"/>
          <w:pgMar w:top="1440" w:right="1080" w:bottom="1440" w:left="1080" w:header="0" w:footer="691" w:gutter="0"/>
          <w:cols w:num="1" w:sep="0" w:space="720" w:equalWidth="1"/>
          <w:docGrid w:linePitch="360"/>
        </w:sectPr>
      </w:pPr>
      <w:r>
        <w:rPr>
          <w:b/>
          <w:bCs/>
          <w:color w:val="auto"/>
          <w:sz w:val="32"/>
          <w:szCs w:val="32"/>
          <w:highlight w:val="none"/>
        </w:rPr>
        <w:br w:type="page" w:clear="all"/>
      </w:r>
      <w:r/>
    </w:p>
    <w:p>
      <w:pPr>
        <w:jc w:val="left"/>
        <w:spacing w:line="360" w:lineRule="auto"/>
        <w:rPr>
          <w:b/>
          <w:bCs/>
          <w:color w:val="auto"/>
          <w:sz w:val="32"/>
          <w:szCs w:val="32"/>
          <w:highlight w:val="none"/>
        </w:rPr>
        <w:outlineLvl w:val="0"/>
      </w:pPr>
      <w:r>
        <w:rPr>
          <w:rFonts w:hint="eastAsia"/>
          <w:b/>
          <w:bCs/>
          <w:color w:val="auto"/>
          <w:sz w:val="32"/>
          <w:szCs w:val="32"/>
          <w:highlight w:val="none"/>
          <w:lang w:val="en-US" w:eastAsia="zh-CN"/>
        </w:rPr>
        <w:t xml:space="preserve">四</w:t>
      </w:r>
      <w:r>
        <w:rPr>
          <w:rFonts w:hint="eastAsia"/>
          <w:b/>
          <w:bCs/>
          <w:color w:val="auto"/>
          <w:sz w:val="32"/>
          <w:szCs w:val="32"/>
          <w:highlight w:val="none"/>
        </w:rPr>
        <w:t xml:space="preserve">、设计方案</w:t>
      </w:r>
      <w:r/>
    </w:p>
    <w:p>
      <w:pPr>
        <w:jc w:val="both"/>
        <w:spacing w:line="360" w:lineRule="auto"/>
        <w:tabs>
          <w:tab w:val="left" w:pos="4768" w:leader="none"/>
        </w:tabs>
        <w:rPr>
          <w:color w:val="auto"/>
          <w:highlight w:val="none"/>
        </w:rPr>
        <w:outlineLvl w:val="1"/>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8459470" cy="5603875"/>
                <wp:effectExtent l="0" t="0" r="17780" b="15875"/>
                <wp:docPr id="7" name="图片 3" descr="f34019bd9a89d3bb1d2c6d5ce52e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f34019bd9a89d3bb1d2c6d5ce52e413"/>
                        <pic:cNvPicPr>
                          <a:picLocks noChangeAspect="1"/>
                        </pic:cNvPicPr>
                        <pic:nvPr/>
                      </pic:nvPicPr>
                      <pic:blipFill>
                        <a:blip r:embed="rId18"/>
                        <a:stretch/>
                      </pic:blipFill>
                      <pic:spPr bwMode="auto">
                        <a:xfrm>
                          <a:off x="0" y="0"/>
                          <a:ext cx="8459470" cy="560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66.1pt;height:441.2pt;mso-wrap-distance-left:0.0pt;mso-wrap-distance-top:0.0pt;mso-wrap-distance-right:0.0pt;mso-wrap-distance-bottom:0.0pt;" stroked="false">
                <v:path textboxrect="0,0,0,0"/>
                <v:imagedata r:id="rId18" o:title=""/>
              </v:shape>
            </w:pict>
          </mc:Fallback>
        </mc:AlternateContent>
      </w:r>
      <w:r/>
    </w:p>
    <w:p>
      <w:pPr>
        <w:jc w:val="center"/>
        <w:rPr>
          <w:rFonts w:hint="eastAsia" w:ascii="宋体" w:hAnsi="宋体" w:cs="宋体"/>
          <w:color w:val="auto"/>
          <w:sz w:val="40"/>
          <w:szCs w:val="4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8801735" cy="5720715"/>
                <wp:effectExtent l="0" t="0" r="18415" b="13335"/>
                <wp:docPr id="8" name="图片 8" descr="5fc0bf7f2d6b91b67960826678b6f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fc0bf7f2d6b91b67960826678b6f61"/>
                        <pic:cNvPicPr>
                          <a:picLocks noChangeAspect="1"/>
                        </pic:cNvPicPr>
                        <pic:nvPr/>
                      </pic:nvPicPr>
                      <pic:blipFill>
                        <a:blip r:embed="rId19"/>
                        <a:stretch/>
                      </pic:blipFill>
                      <pic:spPr bwMode="auto">
                        <a:xfrm>
                          <a:off x="0" y="0"/>
                          <a:ext cx="8801735" cy="5720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3.0pt;height:450.4pt;mso-wrap-distance-left:0.0pt;mso-wrap-distance-top:0.0pt;mso-wrap-distance-right:0.0pt;mso-wrap-distance-bottom:0.0pt;" stroked="false">
                <v:path textboxrect="0,0,0,0"/>
                <v:imagedata r:id="rId19" o:title=""/>
              </v:shape>
            </w:pict>
          </mc:Fallback>
        </mc:AlternateContent>
      </w:r>
      <w:r>
        <w:rPr>
          <w:rFonts w:hint="eastAsia" w:ascii="宋体" w:hAnsi="宋体" w:cs="宋体"/>
          <w:color w:val="auto"/>
          <w:sz w:val="40"/>
          <w:szCs w:val="48"/>
          <w:highlight w:val="none"/>
        </w:rPr>
        <w:t xml:space="preserve"> </w:t>
      </w:r>
      <w:r/>
    </w:p>
    <w:p>
      <w:pPr>
        <w:jc w:val="center"/>
        <w:rPr>
          <w:rFonts w:hint="eastAsia" w:ascii="宋体" w:hAnsi="宋体" w:cs="宋体"/>
          <w:color w:val="auto"/>
          <w:sz w:val="40"/>
          <w:szCs w:val="48"/>
          <w:highlight w:val="none"/>
        </w:rPr>
      </w:pPr>
      <w:r>
        <w:rPr>
          <w:rFonts w:hint="eastAsia" w:ascii="宋体" w:hAnsi="宋体" w:cs="宋体"/>
          <w:color w:val="auto"/>
          <w:sz w:val="40"/>
          <w:szCs w:val="48"/>
          <w:highlight w:val="none"/>
        </w:rPr>
      </w:r>
      <w:r/>
    </w:p>
    <w:p>
      <w:pPr>
        <w:jc w:val="right"/>
        <w:rPr>
          <w:rFonts w:ascii="宋体" w:hAnsi="宋体" w:cs="宋体"/>
          <w:color w:val="auto"/>
          <w:highlight w:val="none"/>
        </w:rPr>
      </w:pPr>
      <w:r>
        <w:rPr>
          <w:rFonts w:hint="eastAsia" w:ascii="宋体" w:hAnsi="宋体" w:cs="宋体"/>
          <w:color w:val="auto"/>
          <w:sz w:val="40"/>
          <w:szCs w:val="48"/>
          <w:highlight w:val="none"/>
        </w:rPr>
        <w:t xml:space="preserve">视角一效果</w:t>
      </w:r>
      <w:r/>
    </w:p>
    <w:p>
      <w:pPr>
        <w:ind w:left="-210"/>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9726295" cy="5173980"/>
                <wp:effectExtent l="0" t="0" r="8255" b="7620"/>
                <wp:docPr id="9" name="图片 18" descr="003视角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descr="003视角2"/>
                        <pic:cNvPicPr>
                          <a:picLocks noChangeAspect="1"/>
                        </pic:cNvPicPr>
                        <pic:nvPr/>
                      </pic:nvPicPr>
                      <pic:blipFill>
                        <a:blip r:embed="rId20"/>
                        <a:srcRect l="113" t="14258" r="-60" b="0"/>
                        <a:stretch/>
                      </pic:blipFill>
                      <pic:spPr bwMode="auto">
                        <a:xfrm>
                          <a:off x="0" y="0"/>
                          <a:ext cx="9726295" cy="5173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5.8pt;height:407.4pt;mso-wrap-distance-left:0.0pt;mso-wrap-distance-top:0.0pt;mso-wrap-distance-right:0.0pt;mso-wrap-distance-bottom:0.0pt;" stroked="false">
                <v:path textboxrect="0,0,0,0"/>
                <v:imagedata r:id="rId20" o:title=""/>
              </v:shape>
            </w:pict>
          </mc:Fallback>
        </mc:AlternateContent>
      </w:r>
      <w:r/>
    </w:p>
    <w:p>
      <w:pPr>
        <w:jc w:val="both"/>
        <w:spacing w:line="360" w:lineRule="auto"/>
        <w:rPr>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8465820" cy="6059805"/>
                <wp:effectExtent l="0" t="0" r="11430" b="17145"/>
                <wp:docPr id="10" name="图片 19"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descr="WPS图片(1)"/>
                        <pic:cNvPicPr>
                          <a:picLocks noChangeAspect="1"/>
                        </pic:cNvPicPr>
                        <pic:nvPr/>
                      </pic:nvPicPr>
                      <pic:blipFill>
                        <a:blip r:embed="rId21"/>
                        <a:stretch/>
                      </pic:blipFill>
                      <pic:spPr bwMode="auto">
                        <a:xfrm>
                          <a:off x="0" y="0"/>
                          <a:ext cx="8465820" cy="60598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6.6pt;height:477.1pt;mso-wrap-distance-left:0.0pt;mso-wrap-distance-top:0.0pt;mso-wrap-distance-right:0.0pt;mso-wrap-distance-bottom:0.0pt;" stroked="false">
                <v:path textboxrect="0,0,0,0"/>
                <v:imagedata r:id="rId21" o:title=""/>
              </v:shape>
            </w:pict>
          </mc:Fallback>
        </mc:AlternateContent>
      </w:r>
      <w:r/>
    </w:p>
    <w:p>
      <w:pPr>
        <w:spacing w:line="360" w:lineRule="auto"/>
        <w:rPr>
          <w:color w:val="auto"/>
          <w:highlight w:val="none"/>
        </w:rPr>
      </w:pPr>
      <w:r>
        <w:rPr>
          <w:color w:val="auto"/>
          <w:highlight w:val="none"/>
        </w:rPr>
        <w:br w:type="page" w:clear="all"/>
      </w:r>
      <w:r/>
    </w:p>
    <w:p>
      <w:pPr>
        <w:ind w:left="40" w:right="313" w:firstLine="490"/>
        <w:jc w:val="center"/>
        <w:spacing w:line="360" w:lineRule="auto"/>
        <w:rPr>
          <w:rFonts w:ascii="宋体" w:hAnsi="宋体" w:cs="宋体"/>
          <w:color w:val="auto"/>
          <w:sz w:val="28"/>
          <w:szCs w:val="28"/>
          <w:highlight w:val="none"/>
        </w:rPr>
        <w:sectPr>
          <w:footnotePr/>
          <w:endnotePr/>
          <w:type w:val="nextPage"/>
          <w:pgSz w:w="16840" w:h="11906" w:orient="landscape"/>
          <w:pgMar w:top="1226" w:right="400" w:bottom="936" w:left="929" w:header="0" w:footer="691" w:gutter="0"/>
          <w:cols w:num="1" w:sep="0" w:space="720" w:equalWidth="1"/>
          <w:docGrid w:linePitch="360"/>
        </w:sectPr>
      </w:pPr>
      <w:r>
        <w:rPr>
          <w:rFonts w:ascii="宋体" w:hAnsi="宋体" w:cs="宋体"/>
          <w:color w:val="auto"/>
          <w:sz w:val="28"/>
          <w:szCs w:val="28"/>
          <w:highlight w:val="none"/>
        </w:rPr>
      </w:r>
      <w:r/>
    </w:p>
    <w:p>
      <w:pPr>
        <w:contextualSpacing/>
        <w:ind w:firstLine="281"/>
        <w:spacing w:line="300" w:lineRule="auto"/>
        <w:tabs>
          <w:tab w:val="left" w:pos="5325" w:leader="none"/>
        </w:tabs>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lang w:val="zh-CN"/>
        </w:rPr>
        <w:t xml:space="preserve">商务条款</w:t>
      </w:r>
      <w:r/>
    </w:p>
    <w:p>
      <w:pPr>
        <w:contextualSpacing/>
        <w:ind w:firstLine="562"/>
        <w:spacing w:line="300" w:lineRule="auto"/>
        <w:shd w:val="clear" w:color="auto" w:fill="ffffff"/>
        <w:widowControl/>
        <w:rPr>
          <w:rFonts w:ascii="宋体" w:hAnsi="宋体" w:cs="宋体"/>
          <w:color w:val="auto"/>
          <w:sz w:val="28"/>
          <w:szCs w:val="28"/>
          <w:highlight w:val="none"/>
        </w:rPr>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.交货期（服务时间）：</w:t>
      </w:r>
      <w:r>
        <w:rPr>
          <w:rFonts w:hint="eastAsia" w:ascii="宋体" w:hAnsi="宋体" w:cs="宋体"/>
          <w:color w:val="auto"/>
          <w:sz w:val="28"/>
          <w:szCs w:val="28"/>
          <w:highlight w:val="none"/>
        </w:rPr>
        <w:t xml:space="preserve"> 自合同签订之日起</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0个日历天内</w:t>
      </w:r>
      <w:r>
        <w:rPr>
          <w:rFonts w:hint="eastAsia" w:ascii="宋体" w:hAnsi="宋体" w:cs="宋体"/>
          <w:color w:val="auto"/>
          <w:sz w:val="28"/>
          <w:szCs w:val="32"/>
          <w:highlight w:val="none"/>
          <w:lang w:val="zh-CN"/>
        </w:rPr>
        <w:t xml:space="preserve">供货安装调试完毕并交付使用</w:t>
      </w:r>
      <w:r>
        <w:rPr>
          <w:rFonts w:hint="eastAsia" w:ascii="宋体" w:hAnsi="宋体" w:cs="宋体"/>
          <w:color w:val="auto"/>
          <w:sz w:val="28"/>
          <w:szCs w:val="28"/>
          <w:highlight w:val="none"/>
        </w:rPr>
        <w:t xml:space="preserve">。</w:t>
      </w:r>
      <w:r/>
    </w:p>
    <w:p>
      <w:pPr>
        <w:contextualSpacing/>
        <w:ind w:firstLine="562"/>
        <w:spacing w:line="300" w:lineRule="auto"/>
        <w:shd w:val="clear" w:color="auto" w:fill="ffffff"/>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2</w:t>
      </w:r>
      <w:r>
        <w:rPr>
          <w:rFonts w:hint="eastAsia" w:ascii="宋体" w:hAnsi="宋体" w:cs="宋体"/>
          <w:b/>
          <w:color w:val="auto"/>
          <w:sz w:val="28"/>
          <w:szCs w:val="28"/>
          <w:highlight w:val="none"/>
        </w:rPr>
        <w:t xml:space="preserve">.交货（服务）地点：</w:t>
      </w:r>
      <w:r>
        <w:rPr>
          <w:rFonts w:hint="eastAsia" w:ascii="宋体" w:hAnsi="宋体" w:cs="宋体"/>
          <w:b/>
          <w:color w:val="auto"/>
          <w:sz w:val="28"/>
          <w:szCs w:val="28"/>
          <w:highlight w:val="none"/>
          <w:lang w:eastAsia="zh-CN"/>
        </w:rPr>
        <w:t xml:space="preserve">南通大学附属医院</w:t>
      </w:r>
      <w:r>
        <w:rPr>
          <w:rFonts w:hint="eastAsia" w:ascii="宋体" w:hAnsi="宋体" w:cs="宋体"/>
          <w:b/>
          <w:color w:val="auto"/>
          <w:sz w:val="28"/>
          <w:szCs w:val="28"/>
          <w:highlight w:val="none"/>
          <w:lang w:val="en-US" w:eastAsia="zh-CN"/>
        </w:rPr>
        <w:t xml:space="preserve">东院区</w:t>
      </w:r>
      <w:r/>
    </w:p>
    <w:p>
      <w:pPr>
        <w:contextualSpacing/>
        <w:ind w:firstLine="562"/>
        <w:spacing w:line="300" w:lineRule="auto"/>
        <w:shd w:val="clear" w:color="auto" w:fill="ffffff"/>
        <w:widowControl/>
        <w:rPr>
          <w:rFonts w:ascii="宋体" w:hAnsi="宋体" w:cs="宋体"/>
          <w:b/>
          <w:color w:val="auto"/>
          <w:sz w:val="28"/>
          <w:szCs w:val="28"/>
          <w:highlight w:val="none"/>
          <w:lang w:val="zh-CN"/>
        </w:rPr>
      </w:pP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质保期限</w:t>
      </w:r>
      <w:r>
        <w:rPr>
          <w:rFonts w:hint="eastAsia" w:ascii="宋体" w:hAnsi="宋体" w:cs="宋体"/>
          <w:color w:val="auto"/>
          <w:sz w:val="28"/>
          <w:szCs w:val="28"/>
          <w:highlight w:val="none"/>
        </w:rPr>
        <w:t xml:space="preserve">（自交货并验收合格之日起计）</w:t>
      </w:r>
      <w:r>
        <w:rPr>
          <w:rFonts w:hint="eastAsia" w:ascii="宋体" w:hAnsi="宋体" w:cs="宋体"/>
          <w:b/>
          <w:color w:val="auto"/>
          <w:sz w:val="28"/>
          <w:szCs w:val="28"/>
          <w:highlight w:val="none"/>
          <w:lang w:val="zh-CN"/>
        </w:rPr>
        <w:t xml:space="preserve">：</w:t>
      </w:r>
      <w:r>
        <w:rPr>
          <w:rFonts w:hint="eastAsia" w:ascii="宋体" w:hAnsi="宋体" w:cs="宋体"/>
          <w:color w:val="auto"/>
          <w:sz w:val="28"/>
          <w:szCs w:val="28"/>
          <w:highlight w:val="none"/>
        </w:rPr>
        <w:t xml:space="preserve">本项目整体质保期不少于三年</w:t>
      </w:r>
      <w:r>
        <w:rPr>
          <w:rFonts w:hint="eastAsia" w:asciiTheme="minorEastAsia" w:hAnsiTheme="minorEastAsia" w:eastAsiaTheme="minorEastAsia"/>
          <w:bCs/>
          <w:color w:val="auto"/>
          <w:sz w:val="28"/>
          <w:szCs w:val="28"/>
          <w:highlight w:val="none"/>
        </w:rPr>
        <w:t xml:space="preserve">（按投标人实际承诺期限）</w:t>
      </w:r>
      <w:r>
        <w:rPr>
          <w:rFonts w:hint="eastAsia" w:ascii="宋体" w:hAnsi="宋体" w:cs="宋体"/>
          <w:color w:val="auto"/>
          <w:sz w:val="28"/>
          <w:szCs w:val="28"/>
          <w:highlight w:val="none"/>
        </w:rPr>
        <w:t xml:space="preserve">,自验收合格之日起算。</w:t>
      </w:r>
      <w:r/>
    </w:p>
    <w:p>
      <w:pPr>
        <w:contextualSpacing/>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.付款方式：</w:t>
      </w:r>
      <w:r/>
    </w:p>
    <w:p>
      <w:pPr>
        <w:contextualSpacing/>
        <w:ind w:firstLine="562"/>
        <w:spacing w:line="300" w:lineRule="auto"/>
        <w:shd w:val="clear" w:color="auto" w:fill="ffffff"/>
        <w:widowControl/>
        <w:rPr>
          <w:rFonts w:hint="eastAsia"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 xml:space="preserve">全部货物安装调试完成并经招标人验收合格后支付合同金额的90%，余款(合同金额10%)待验收合格满3年后无质量问题一次性付清。</w:t>
      </w:r>
      <w:r/>
    </w:p>
    <w:p>
      <w:pPr>
        <w:ind w:firstLine="560"/>
        <w:spacing w:line="300" w:lineRule="auto"/>
        <w:tabs>
          <w:tab w:val="left" w:pos="5325" w:leader="none"/>
        </w:tabs>
        <w:rPr>
          <w:rFonts w:ascii="宋体" w:hAnsi="宋体" w:cs="宋体"/>
          <w:b/>
          <w:color w:val="auto"/>
          <w:sz w:val="28"/>
          <w:szCs w:val="28"/>
          <w:highlight w:val="none"/>
        </w:rPr>
      </w:pPr>
      <w:r>
        <w:rPr>
          <w:rFonts w:hint="eastAsia" w:ascii="宋体" w:hAnsi="宋体" w:cs="宋体"/>
          <w:color w:val="auto"/>
          <w:sz w:val="28"/>
          <w:szCs w:val="28"/>
          <w:highlight w:val="none"/>
        </w:rPr>
        <w:t xml:space="preserve">注：因中标人发票错误、迟延等问题而导致招标人无法付款的，招标人不承担责任。</w:t>
      </w:r>
      <w:r>
        <w:rPr>
          <w:rFonts w:hint="eastAsia" w:ascii="宋体" w:hAnsi="宋体" w:cs="宋体"/>
          <w:bCs/>
          <w:color w:val="auto"/>
          <w:sz w:val="28"/>
          <w:szCs w:val="28"/>
          <w:highlight w:val="none"/>
        </w:rPr>
        <w:t xml:space="preserve"> </w:t>
      </w:r>
      <w:r/>
    </w:p>
    <w:p>
      <w:pPr>
        <w:ind w:firstLine="562"/>
        <w:spacing w:line="300" w:lineRule="auto"/>
        <w:tabs>
          <w:tab w:val="left" w:pos="5325" w:leader="none"/>
        </w:tabs>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.验收的具体方案：</w:t>
      </w:r>
      <w:r/>
    </w:p>
    <w:p>
      <w:pPr>
        <w:pStyle w:val="739"/>
        <w:ind w:firstLine="560"/>
        <w:spacing w:before="0" w:beforeAutospacing="0" w:after="0" w:afterAutospacing="0" w:line="460" w:lineRule="exact"/>
        <w:rPr>
          <w:rFonts w:cs="宋体"/>
          <w:color w:val="auto"/>
          <w:sz w:val="28"/>
          <w:szCs w:val="32"/>
          <w:highlight w:val="none"/>
          <w:lang w:val="zh-CN"/>
        </w:rPr>
      </w:pPr>
      <w:r>
        <w:rPr>
          <w:rFonts w:hint="eastAsia" w:cs="宋体"/>
          <w:color w:val="auto"/>
          <w:sz w:val="28"/>
          <w:szCs w:val="32"/>
          <w:highlight w:val="none"/>
          <w:lang w:val="en-US" w:eastAsia="zh-CN"/>
        </w:rPr>
        <w:t xml:space="preserve">5</w:t>
      </w:r>
      <w:r>
        <w:rPr>
          <w:rFonts w:hint="eastAsia" w:cs="宋体"/>
          <w:color w:val="auto"/>
          <w:sz w:val="28"/>
          <w:szCs w:val="32"/>
          <w:highlight w:val="none"/>
        </w:rPr>
        <w:t xml:space="preserve">.1中标人</w:t>
      </w:r>
      <w:r>
        <w:rPr>
          <w:rFonts w:hint="eastAsia" w:cs="宋体"/>
          <w:color w:val="auto"/>
          <w:sz w:val="28"/>
          <w:szCs w:val="32"/>
          <w:highlight w:val="none"/>
          <w:lang w:val="zh-CN"/>
        </w:rPr>
        <w:t xml:space="preserve">货物送达后，</w:t>
      </w:r>
      <w:r>
        <w:rPr>
          <w:rFonts w:hint="eastAsia" w:cs="宋体"/>
          <w:color w:val="auto"/>
          <w:sz w:val="28"/>
          <w:szCs w:val="32"/>
          <w:highlight w:val="none"/>
        </w:rPr>
        <w:t xml:space="preserve">招标</w:t>
      </w:r>
      <w:r>
        <w:rPr>
          <w:rFonts w:hint="eastAsia" w:cs="宋体"/>
          <w:color w:val="auto"/>
          <w:sz w:val="28"/>
          <w:szCs w:val="32"/>
          <w:highlight w:val="none"/>
          <w:lang w:val="zh-CN"/>
        </w:rPr>
        <w:t xml:space="preserve">方对其数量、品种、规格、运输保存方式等进行检查验收，如不合格应无条件退货或换货。</w:t>
      </w:r>
      <w:r/>
    </w:p>
    <w:p>
      <w:pPr>
        <w:pStyle w:val="739"/>
        <w:ind w:firstLine="560"/>
        <w:spacing w:before="0" w:beforeAutospacing="0" w:after="0" w:afterAutospacing="0" w:line="460" w:lineRule="exact"/>
        <w:rPr>
          <w:rFonts w:cs="宋体"/>
          <w:color w:val="auto"/>
          <w:sz w:val="28"/>
          <w:szCs w:val="32"/>
          <w:highlight w:val="none"/>
        </w:rPr>
      </w:pPr>
      <w:r>
        <w:rPr>
          <w:rFonts w:hint="eastAsia" w:cs="宋体"/>
          <w:color w:val="auto"/>
          <w:sz w:val="28"/>
          <w:szCs w:val="32"/>
          <w:highlight w:val="none"/>
          <w:lang w:val="en-US" w:eastAsia="zh-CN"/>
        </w:rPr>
        <w:t xml:space="preserve">5</w:t>
      </w:r>
      <w:r>
        <w:rPr>
          <w:rFonts w:hint="eastAsia" w:cs="宋体"/>
          <w:color w:val="auto"/>
          <w:sz w:val="28"/>
          <w:szCs w:val="32"/>
          <w:highlight w:val="none"/>
        </w:rPr>
        <w:t xml:space="preserve">.2中标人须确保所供产品材料的规格及对应品牌与投标文件保持一致，在合同履约过程中不得擅自更换。</w:t>
      </w:r>
      <w:r/>
    </w:p>
    <w:p>
      <w:pPr>
        <w:pStyle w:val="739"/>
        <w:ind w:firstLine="560"/>
        <w:spacing w:before="0" w:beforeAutospacing="0" w:after="0" w:afterAutospacing="0" w:line="460" w:lineRule="exact"/>
        <w:rPr>
          <w:rFonts w:cs="宋体"/>
          <w:color w:val="auto"/>
          <w:sz w:val="28"/>
          <w:szCs w:val="32"/>
          <w:highlight w:val="none"/>
          <w:lang w:val="zh-CN"/>
        </w:rPr>
      </w:pPr>
      <w:r>
        <w:rPr>
          <w:rFonts w:hint="eastAsia" w:cs="宋体"/>
          <w:color w:val="auto"/>
          <w:sz w:val="28"/>
          <w:szCs w:val="32"/>
          <w:highlight w:val="none"/>
          <w:lang w:val="en-US" w:eastAsia="zh-CN"/>
        </w:rPr>
        <w:t xml:space="preserve">5</w:t>
      </w:r>
      <w:r>
        <w:rPr>
          <w:rFonts w:hint="eastAsia" w:cs="宋体"/>
          <w:color w:val="auto"/>
          <w:sz w:val="28"/>
          <w:szCs w:val="32"/>
          <w:highlight w:val="none"/>
          <w:lang w:val="zh-CN"/>
        </w:rPr>
        <w:t xml:space="preserve">.</w:t>
      </w:r>
      <w:r>
        <w:rPr>
          <w:rFonts w:cs="宋体"/>
          <w:color w:val="auto"/>
          <w:sz w:val="28"/>
          <w:szCs w:val="32"/>
          <w:highlight w:val="none"/>
        </w:rPr>
        <w:t xml:space="preserve">3</w:t>
      </w:r>
      <w:r>
        <w:rPr>
          <w:rFonts w:hint="eastAsia" w:cs="宋体"/>
          <w:color w:val="auto"/>
          <w:sz w:val="28"/>
          <w:szCs w:val="28"/>
          <w:highlight w:val="none"/>
        </w:rPr>
        <w:t xml:space="preserve">全部货物安装调试完毕后</w:t>
      </w:r>
      <w:r>
        <w:rPr>
          <w:rFonts w:hint="eastAsia" w:cs="宋体"/>
          <w:color w:val="auto"/>
          <w:sz w:val="28"/>
          <w:szCs w:val="32"/>
          <w:highlight w:val="none"/>
          <w:lang w:val="zh-CN"/>
        </w:rPr>
        <w:t xml:space="preserve">，</w:t>
      </w:r>
      <w:r>
        <w:rPr>
          <w:rFonts w:hint="eastAsia" w:cs="宋体"/>
          <w:color w:val="auto"/>
          <w:sz w:val="28"/>
          <w:szCs w:val="32"/>
          <w:highlight w:val="none"/>
        </w:rPr>
        <w:t xml:space="preserve">中标人</w:t>
      </w:r>
      <w:r>
        <w:rPr>
          <w:rFonts w:hint="eastAsia" w:cs="宋体"/>
          <w:color w:val="auto"/>
          <w:sz w:val="28"/>
          <w:szCs w:val="32"/>
          <w:highlight w:val="none"/>
          <w:lang w:val="zh-CN"/>
        </w:rPr>
        <w:t xml:space="preserve">向招标人提交项目验收技术资料以及终验申请单，招标人收到申请后</w:t>
      </w:r>
      <w:r>
        <w:rPr>
          <w:rFonts w:hint="eastAsia" w:cs="宋体"/>
          <w:color w:val="auto"/>
          <w:sz w:val="28"/>
          <w:szCs w:val="32"/>
          <w:highlight w:val="none"/>
        </w:rPr>
        <w:t xml:space="preserve">5</w:t>
      </w:r>
      <w:r>
        <w:rPr>
          <w:rFonts w:hint="eastAsia" w:cs="宋体"/>
          <w:color w:val="auto"/>
          <w:sz w:val="28"/>
          <w:szCs w:val="32"/>
          <w:highlight w:val="none"/>
          <w:lang w:val="zh-CN"/>
        </w:rPr>
        <w:t xml:space="preserve">个工作日内组织终验且验收无问题后签署终验单。</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．本次采购需切实履行绿色采购。</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.1商品包装环保要求：应当按《关于印发〈商品包装政府采购需求标准（试行）〉、〈快递包装政府采购需求标准（试行）〉的通知》（财办库〔2020〕123号）文件执行。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（1）商品包装层数不得超过 3 层，空隙率不大于 40%；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（2）商品包装尽可能使用单一材质的包装材料，如因功能需求必需使用不同材质，不同材质间应便于分离；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（3）商品包装中铅、汞、镉、六价铬的总含量应不大于100mg/kg；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（4）商品包装印刷使用的油墨中挥发性有机化合物(VOCs)含量应不大于 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（5）塑料材质商品包装上呈现的印刷颜色不得超过 6 色；</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（6）纸质商品包装应使用 75%以上的可再生纤维原料生产；</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（7）木质商品包装的原料应来源于可持续性森林。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.2快递包装环保要求：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（1）快递包装中重金属（铅、汞、镉、六价铬）总量应不大于 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（2）快递包装印刷使用的油墨中不应添加邻苯二甲酸酯，其挥发性有机化合物(VOCs)含量应不大于5%（以重量计）；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（3）快递包装中使用纸基材的包装材料，纸基材中的有机氯的含量应不大于 150 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（5）快递中使用的塑料包装袋不得使用聚氯乙烯作为原料，且原料应为单一材质制成，生物分解率大于60%；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（6）快递中使用的充气类填充物不得使用聚氯乙烯作为 原料，且原料为单一材质制成，生物分解率大于60%；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（7）快递中使用的集装袋应为单一材质制成，其重复使用次数应不小于 80 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（8）快递中应使用幅宽不大于45mm 的生物降解胶带；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（9）快递包装中不得使用溶剂型胶粘剂；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（11）快递应使用电子面单；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（12）直接使用商品包装作为快递包装的商品，其商品包装满足《商品包装政府采购需求标准（试行）》即可；</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（13）快递包装产品质量和封装方式应符合相关国家或行业标准技术指标要求。</w:t>
      </w:r>
      <w:r/>
    </w:p>
    <w:p>
      <w:pPr>
        <w:ind w:firstLine="562"/>
        <w:spacing w:line="520" w:lineRule="exact"/>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采购需求中必须满足的实质性要求</w:t>
      </w:r>
      <w:r/>
    </w:p>
    <w:p>
      <w:pPr>
        <w:ind w:firstLine="562"/>
        <w:spacing w:line="460" w:lineRule="exact"/>
        <w:rPr>
          <w:rFonts w:ascii="宋体" w:hAnsi="宋体" w:cs="宋体"/>
          <w:b/>
          <w:bCs/>
          <w:color w:val="auto"/>
          <w:sz w:val="28"/>
          <w:szCs w:val="28"/>
          <w:highlight w:val="none"/>
        </w:rPr>
      </w:pPr>
      <w:r>
        <w:rPr>
          <w:rFonts w:hint="eastAsia" w:ascii="宋体" w:hAnsi="宋体" w:cs="宋体"/>
          <w:b/>
          <w:bCs/>
          <w:i/>
          <w:iCs/>
          <w:color w:val="auto"/>
          <w:sz w:val="28"/>
          <w:szCs w:val="28"/>
          <w:highlight w:val="none"/>
          <w:u w:val="single"/>
        </w:rPr>
        <w:t xml:space="preserve">投标报价不超过最高限价，应包括响应报价为包含项目达到使用要求的所有费用，投标时出具承诺函（格式自拟）。</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八、履约保证金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2.中标人全部履约合同义务，经招标人验收合格无质量、进度等问题30日内一次性退还履约保证金，招标人若逾期退还履约保证金的，按照逾期部分的每日0.05%支付违约金；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a.签订合同后，中标人不履行合同义务的，招标人有权全额扣除履约保证金，全额不予退还，同时招标人亦有权终止合同，中标人还须承担相应的法律赔偿责任。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p>
    <w:p>
      <w:pPr>
        <w:ind w:firstLine="560"/>
        <w:spacing w:line="52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4.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ww.ccgp-jiangsu.gov.cn/jisngsu/zlxz/)。 </w:t>
      </w:r>
      <w:r/>
    </w:p>
    <w:p>
      <w:pPr>
        <w:contextualSpacing/>
        <w:ind w:firstLine="562"/>
        <w:spacing w:line="460" w:lineRule="exact"/>
        <w:tabs>
          <w:tab w:val="left" w:pos="5325" w:leader="none"/>
        </w:tabs>
        <w:rPr>
          <w:rFonts w:ascii="宋体" w:hAnsi="宋体" w:cs="宋体"/>
          <w:color w:val="auto"/>
          <w:sz w:val="28"/>
          <w:szCs w:val="28"/>
          <w:highlight w:val="none"/>
        </w:rPr>
      </w:pPr>
      <w:r>
        <w:rPr>
          <w:rFonts w:hint="eastAsia" w:ascii="宋体" w:hAnsi="宋体" w:cs="宋体"/>
          <w:b/>
          <w:bCs/>
          <w:color w:val="auto"/>
          <w:sz w:val="28"/>
          <w:szCs w:val="28"/>
          <w:highlight w:val="none"/>
        </w:rPr>
        <w:t xml:space="preserve">九、招标项目涉及到的现场勘察</w:t>
      </w:r>
      <w:r>
        <w:rPr>
          <w:rFonts w:hint="eastAsia" w:ascii="宋体" w:hAnsi="宋体" w:cs="宋体"/>
          <w:color w:val="auto"/>
          <w:sz w:val="28"/>
          <w:szCs w:val="28"/>
          <w:highlight w:val="none"/>
        </w:rPr>
        <w:t xml:space="preserve"> </w:t>
      </w:r>
      <w:r/>
    </w:p>
    <w:p>
      <w:pPr>
        <w:contextualSpacing/>
        <w:ind w:firstLine="560"/>
        <w:spacing w:line="460" w:lineRule="exact"/>
        <w:tabs>
          <w:tab w:val="left" w:pos="53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根据项目建设需求及复杂性，投标人可自行勘察现场，掌握有关现场的数据和资料。</w:t>
      </w:r>
      <w:r/>
    </w:p>
    <w:p>
      <w:pPr>
        <w:pStyle w:val="991"/>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1.供应商可以在在投标文件递交之日前对有关现场和周围环境进行勘察，以获取编制响应文件和签署合同所需的信息。勘察现场所发生的费用由供应商自己承担。</w:t>
      </w:r>
      <w:r/>
    </w:p>
    <w:p>
      <w:pPr>
        <w:pStyle w:val="991"/>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cs="宋体"/>
          <w:color w:val="auto"/>
          <w:sz w:val="28"/>
          <w:szCs w:val="28"/>
          <w:highlight w:val="none"/>
        </w:rPr>
        <w:t xml:space="preserve">2.招标人向投标人提供的有关现场的资料和数据，是招标人现</w:t>
      </w:r>
      <w:r>
        <w:rPr>
          <w:rFonts w:hint="eastAsia" w:ascii="宋体" w:hAnsi="宋体" w:eastAsia="宋体" w:cs="宋体"/>
          <w:color w:val="auto"/>
          <w:sz w:val="28"/>
          <w:szCs w:val="28"/>
          <w:highlight w:val="none"/>
        </w:rPr>
        <w:t xml:space="preserve">有的并认为能使供应商可利用的资料。招标人对投标人由此而做出的推论、理解和结论概不负责。</w:t>
      </w:r>
      <w:r/>
    </w:p>
    <w:p>
      <w:pPr>
        <w:pStyle w:val="991"/>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3.经招标人允许，投标人可为勘察目的进入招标人的项目现场，但投标人不得因此使招标人承担有关的责任和蒙受损失。投标人应承担勘察现场的责任和风险。</w:t>
      </w:r>
      <w:r/>
    </w:p>
    <w:p>
      <w:pPr>
        <w:pStyle w:val="991"/>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应认真踏勘现场。在现场勘察时，熟悉施工及安装现场、现场周围交通道路等情况，以获得一切可能影响其</w:t>
      </w:r>
      <w:r>
        <w:rPr>
          <w:rFonts w:hint="eastAsia" w:ascii="宋体" w:hAnsi="宋体" w:eastAsia="宋体" w:cs="宋体"/>
          <w:color w:val="auto"/>
          <w:sz w:val="28"/>
          <w:szCs w:val="28"/>
          <w:highlight w:val="none"/>
          <w:lang w:eastAsia="zh-CN"/>
        </w:rPr>
        <w:t xml:space="preserve">投标</w:t>
      </w:r>
      <w:r>
        <w:rPr>
          <w:rFonts w:hint="eastAsia" w:ascii="宋体" w:hAnsi="宋体" w:eastAsia="宋体" w:cs="宋体"/>
          <w:color w:val="auto"/>
          <w:sz w:val="28"/>
          <w:szCs w:val="28"/>
          <w:highlight w:val="none"/>
        </w:rPr>
        <w:t xml:space="preserve">的直接资料。供应商成交后，不得以不完全了解现场情况为理由而</w:t>
      </w:r>
      <w:r>
        <w:rPr>
          <w:rFonts w:hint="eastAsia" w:ascii="宋体" w:hAnsi="宋体" w:eastAsia="宋体" w:cs="宋体"/>
          <w:color w:val="auto"/>
          <w:sz w:val="28"/>
          <w:szCs w:val="28"/>
          <w:highlight w:val="none"/>
          <w:lang w:eastAsia="zh-CN"/>
        </w:rPr>
        <w:t xml:space="preserve">向招标人</w:t>
      </w:r>
      <w:r>
        <w:rPr>
          <w:rFonts w:hint="eastAsia" w:ascii="宋体" w:hAnsi="宋体" w:eastAsia="宋体" w:cs="宋体"/>
          <w:color w:val="auto"/>
          <w:sz w:val="28"/>
          <w:szCs w:val="28"/>
          <w:highlight w:val="none"/>
        </w:rPr>
        <w:t xml:space="preserve">提出任何索赔的要求，对此</w:t>
      </w:r>
      <w:r>
        <w:rPr>
          <w:rFonts w:hint="eastAsia" w:ascii="宋体" w:hAnsi="宋体" w:eastAsia="宋体" w:cs="宋体"/>
          <w:color w:val="auto"/>
          <w:sz w:val="28"/>
          <w:szCs w:val="28"/>
          <w:highlight w:val="none"/>
          <w:lang w:eastAsia="zh-CN"/>
        </w:rPr>
        <w:t xml:space="preserve">招标人</w:t>
      </w:r>
      <w:r>
        <w:rPr>
          <w:rFonts w:hint="eastAsia" w:ascii="宋体" w:hAnsi="宋体" w:eastAsia="宋体" w:cs="宋体"/>
          <w:color w:val="auto"/>
          <w:sz w:val="28"/>
          <w:szCs w:val="28"/>
          <w:highlight w:val="none"/>
        </w:rPr>
        <w:t xml:space="preserve">不承担任何责任并将不作任何答复与考虑。</w:t>
      </w:r>
      <w:r/>
    </w:p>
    <w:p>
      <w:pPr>
        <w:pStyle w:val="991"/>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勘察联系人：</w:t>
      </w:r>
      <w:r>
        <w:rPr>
          <w:rFonts w:hint="eastAsia" w:ascii="宋体" w:hAnsi="宋体" w:cs="宋体"/>
          <w:color w:val="auto"/>
          <w:sz w:val="28"/>
          <w:szCs w:val="28"/>
          <w:highlight w:val="none"/>
          <w:lang w:val="en-US" w:eastAsia="zh-CN"/>
        </w:rPr>
        <w:t xml:space="preserve">刘老师13951313535、章老师13815212431；</w:t>
      </w:r>
      <w:r/>
    </w:p>
    <w:p>
      <w:pPr>
        <w:pStyle w:val="991"/>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勘察时间（1）：1</w:t>
      </w:r>
      <w:r>
        <w:rPr>
          <w:rFonts w:hint="eastAsia"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w:t>
      </w:r>
      <w:r>
        <w:rPr>
          <w:rFonts w:hint="eastAsia"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日上午9：00，逾时造成的信息不全由</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自行承担风险。</w:t>
      </w:r>
      <w:r/>
    </w:p>
    <w:p>
      <w:pPr>
        <w:pStyle w:val="991"/>
        <w:ind w:firstLine="560"/>
        <w:jc w:val="both"/>
        <w:spacing w:before="0" w:beforeAutospacing="0" w:after="0" w:afterAutospacing="0" w:line="460" w:lineRule="exact"/>
        <w:shd w:val="clear" w:color="auto" w:fill="ffffff"/>
        <w:rPr>
          <w:rFonts w:hint="eastAsia" w:cs="宋体"/>
          <w:color w:val="auto"/>
          <w:sz w:val="28"/>
          <w:szCs w:val="28"/>
          <w:highlight w:val="none"/>
        </w:rPr>
      </w:pPr>
      <w:r>
        <w:rPr>
          <w:rFonts w:hint="eastAsia" w:ascii="宋体" w:hAnsi="宋体" w:eastAsia="宋体" w:cs="宋体"/>
          <w:color w:val="auto"/>
          <w:sz w:val="28"/>
          <w:szCs w:val="28"/>
          <w:highlight w:val="none"/>
        </w:rPr>
        <w:t xml:space="preserve">勘察时间（2）：1</w:t>
      </w:r>
      <w:r>
        <w:rPr>
          <w:rFonts w:hint="eastAsia"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w:t>
      </w:r>
      <w:r>
        <w:rPr>
          <w:rFonts w:hint="eastAsia"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日上午9：00，逾时造成的信息不全由</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自行承担风险。</w:t>
      </w:r>
      <w:r/>
    </w:p>
    <w:p>
      <w:pPr>
        <w:ind w:firstLine="562"/>
        <w:spacing w:line="52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十、样品</w:t>
      </w:r>
      <w:r/>
    </w:p>
    <w:p>
      <w:pPr>
        <w:ind w:firstLine="562"/>
        <w:spacing w:line="520" w:lineRule="exact"/>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1.样品清单：①双压筋搁板（长500*宽230mm）、②双压筋立柱(长500mm)、③双压筋挂板(长500mm)、④双压筋搁棒(长500mm)、⑤侧板(长290*宽250mm)、⑥底盘(长700*宽450mm)。</w:t>
      </w:r>
      <w:r/>
    </w:p>
    <w:p>
      <w:pPr>
        <w:ind w:firstLine="562"/>
        <w:spacing w:line="52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2.样品提交完成时间：请于投标文件递交截止时间前（逾时不接受）统一送达至南通市工农南路88号海外联谊大厦2106室。招标人有权对所提供的样品进行破坏性试验。开标结束后，投标人（中标候</w:t>
      </w:r>
      <w:r>
        <w:rPr>
          <w:rFonts w:hint="eastAsia" w:ascii="宋体" w:hAnsi="宋体" w:eastAsia="宋体" w:cs="宋体"/>
          <w:color w:val="auto"/>
          <w:sz w:val="28"/>
          <w:szCs w:val="28"/>
          <w:highlight w:val="none"/>
          <w:lang w:val="en-US" w:eastAsia="zh-CN" w:bidi="ar-SA"/>
        </w:rPr>
        <w:t xml:space="preserve">选人除外）应将样品及时撤离，否则，样品发生任何损坏、损失由投标人自行承担，所有投标人自行承担相关样品制作费、运输费、破坏性试验产生的相关费用等。中标人的样品由招标人封存作为验收时的依据。样品上不得出现投标人名称、品牌标识和其他可以识别投标人身份的字符、徽标、人员名称以及其他特殊标记或物品等，否则按无效投标处理。样品照片、图片及可识别样品的相关信息不得放入除价格标以外的投标响应材料中，否则按无效投标处理。样品逾期送达或者未在规定时间送达指定地点的，不予接收样品。联系人：汤工，联系电话：18251232539。</w:t>
      </w:r>
      <w:r/>
    </w:p>
    <w:p>
      <w:pPr>
        <w:ind w:firstLine="562"/>
        <w:spacing w:line="52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投标人在规定的时间内携带授权委托书提供样品。中标公示期结束后，投标人（中标候选人除外）应将样品及时撤离，撤离时携带授权委托书。超过2个日历天未撤离的，由采购人处置。</w:t>
      </w:r>
      <w:r/>
    </w:p>
    <w:p>
      <w:pPr>
        <w:ind w:firstLine="562"/>
        <w:spacing w:line="52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3.样品样式：</w:t>
      </w:r>
      <w:r/>
    </w:p>
    <w:p>
      <w:pPr>
        <w:spacing w:line="360" w:lineRule="auto"/>
        <w:rPr>
          <w:rFonts w:hAnsi="宋体" w:cs="宋体"/>
          <w:color w:val="auto"/>
          <w:highlight w:val="none"/>
        </w:rPr>
      </w:pPr>
      <w:r>
        <w:rPr>
          <w:rFonts w:hAnsi="宋体" w:cs="宋体"/>
          <w:color w:val="auto"/>
          <w:highlight w:val="none"/>
        </w:rPr>
        <mc:AlternateContent>
          <mc:Choice Requires="wpg">
            <w:drawing>
              <wp:inline xmlns:wp="http://schemas.openxmlformats.org/drawingml/2006/wordprocessingDrawing" distT="0" distB="0" distL="0" distR="0">
                <wp:extent cx="1891030" cy="457200"/>
                <wp:effectExtent l="0" t="0" r="13970" b="0"/>
                <wp:docPr id="11" name="图片 2" descr="b5b98c2166c95c7e1cb65fa970964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b5b98c2166c95c7e1cb65fa970964bc"/>
                        <pic:cNvPicPr>
                          <a:picLocks noChangeAspect="1"/>
                        </pic:cNvPicPr>
                        <pic:nvPr/>
                      </pic:nvPicPr>
                      <pic:blipFill>
                        <a:blip r:embed="rId22"/>
                        <a:stretch/>
                      </pic:blipFill>
                      <pic:spPr bwMode="auto">
                        <a:xfrm>
                          <a:off x="0" y="0"/>
                          <a:ext cx="1891030"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8.9pt;height:36.0pt;mso-wrap-distance-left:0.0pt;mso-wrap-distance-top:0.0pt;mso-wrap-distance-right:0.0pt;mso-wrap-distance-bottom:0.0pt;" stroked="f">
                <v:path textboxrect="0,0,0,0"/>
                <v:imagedata r:id="rId22" o:title=""/>
              </v:shape>
            </w:pict>
          </mc:Fallback>
        </mc:AlternateContent>
      </w:r>
      <w:r>
        <w:rPr>
          <w:rFonts w:hint="eastAsia" w:hAnsi="宋体" w:cs="宋体"/>
          <w:color w:val="auto"/>
          <w:highlight w:val="none"/>
        </w:rPr>
        <w:t xml:space="preserve">     </w:t>
      </w:r>
      <w:r>
        <w:rPr>
          <w:rFonts w:hAnsi="宋体" w:cs="宋体"/>
          <w:color w:val="auto"/>
          <w:highlight w:val="none"/>
        </w:rPr>
        <mc:AlternateContent>
          <mc:Choice Requires="wpg">
            <w:drawing>
              <wp:inline xmlns:wp="http://schemas.openxmlformats.org/drawingml/2006/wordprocessingDrawing" distT="0" distB="0" distL="0" distR="0">
                <wp:extent cx="2085340" cy="450215"/>
                <wp:effectExtent l="0" t="0" r="10160" b="6985"/>
                <wp:docPr id="12" name="图片 3" descr="79973cd456336f4ec5f0d10e5d5b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79973cd456336f4ec5f0d10e5d5ba68"/>
                        <pic:cNvPicPr>
                          <a:picLocks noChangeAspect="1"/>
                        </pic:cNvPicPr>
                        <pic:nvPr/>
                      </pic:nvPicPr>
                      <pic:blipFill>
                        <a:blip r:embed="rId23"/>
                        <a:stretch/>
                      </pic:blipFill>
                      <pic:spPr bwMode="auto">
                        <a:xfrm>
                          <a:off x="0" y="0"/>
                          <a:ext cx="208534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4.2pt;height:35.4pt;mso-wrap-distance-left:0.0pt;mso-wrap-distance-top:0.0pt;mso-wrap-distance-right:0.0pt;mso-wrap-distance-bottom:0.0pt;" stroked="f">
                <v:path textboxrect="0,0,0,0"/>
                <v:imagedata r:id="rId23" o:title=""/>
              </v:shape>
            </w:pict>
          </mc:Fallback>
        </mc:AlternateContent>
      </w:r>
      <w:r/>
    </w:p>
    <w:p>
      <w:pPr>
        <w:spacing w:line="360" w:lineRule="auto"/>
        <w:rPr>
          <w:rFonts w:hAnsi="宋体" w:cs="宋体"/>
          <w:color w:val="auto"/>
          <w:highlight w:val="none"/>
        </w:rPr>
      </w:pPr>
      <w:r>
        <w:rPr>
          <w:rFonts w:hint="eastAsia" w:hAnsi="宋体" w:cs="宋体"/>
          <w:color w:val="auto"/>
          <w:highlight w:val="none"/>
        </w:rPr>
        <w:t xml:space="preserve">立柱正面压筋                         立柱侧面压筋</w:t>
      </w:r>
      <w:r/>
    </w:p>
    <w:p>
      <w:pPr>
        <w:spacing w:line="360" w:lineRule="auto"/>
        <w:rPr>
          <w:rFonts w:hAnsi="宋体" w:cs="宋体"/>
          <w:color w:val="auto"/>
          <w:highlight w:val="none"/>
        </w:rPr>
      </w:pPr>
      <w:r>
        <w:rPr>
          <w:rFonts w:hAnsi="宋体" w:cs="宋体"/>
          <w:color w:val="auto"/>
          <w:highlight w:val="none"/>
        </w:rPr>
        <mc:AlternateContent>
          <mc:Choice Requires="wpg">
            <w:drawing>
              <wp:inline xmlns:wp="http://schemas.openxmlformats.org/drawingml/2006/wordprocessingDrawing" distT="0" distB="0" distL="0" distR="0">
                <wp:extent cx="1226185" cy="962660"/>
                <wp:effectExtent l="0" t="0" r="12065" b="8890"/>
                <wp:docPr id="13" name="图片 4" descr="af5df0b6a26329e037c26ae29b15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af5df0b6a26329e037c26ae29b15b1a"/>
                        <pic:cNvPicPr>
                          <a:picLocks noChangeAspect="1"/>
                        </pic:cNvPicPr>
                        <pic:nvPr/>
                      </pic:nvPicPr>
                      <pic:blipFill>
                        <a:blip r:embed="rId24"/>
                        <a:stretch/>
                      </pic:blipFill>
                      <pic:spPr bwMode="auto">
                        <a:xfrm>
                          <a:off x="0" y="0"/>
                          <a:ext cx="1226185" cy="962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6.5pt;height:75.8pt;mso-wrap-distance-left:0.0pt;mso-wrap-distance-top:0.0pt;mso-wrap-distance-right:0.0pt;mso-wrap-distance-bottom:0.0pt;" stroked="f">
                <v:path textboxrect="0,0,0,0"/>
                <v:imagedata r:id="rId24" o:title=""/>
              </v:shape>
            </w:pict>
          </mc:Fallback>
        </mc:AlternateContent>
      </w:r>
      <w:r>
        <w:rPr>
          <w:rFonts w:hint="eastAsia" w:hAnsi="宋体" w:cs="宋体"/>
          <w:color w:val="auto"/>
          <w:highlight w:val="none"/>
        </w:rPr>
        <w:t xml:space="preserve">     </w:t>
      </w:r>
      <w:r>
        <w:rPr>
          <w:rFonts w:hAnsi="宋体" w:cs="宋体"/>
          <w:color w:val="auto"/>
          <w:highlight w:val="none"/>
        </w:rPr>
        <mc:AlternateContent>
          <mc:Choice Requires="wpg">
            <w:drawing>
              <wp:inline xmlns:wp="http://schemas.openxmlformats.org/drawingml/2006/wordprocessingDrawing" distT="0" distB="0" distL="0" distR="0">
                <wp:extent cx="3103245" cy="955675"/>
                <wp:effectExtent l="0" t="0" r="1905" b="15875"/>
                <wp:docPr id="14" name="图片 5" descr="0a6fbbda722a68fdb0539ff9682ad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0a6fbbda722a68fdb0539ff9682ade3"/>
                        <pic:cNvPicPr>
                          <a:picLocks noChangeAspect="1"/>
                        </pic:cNvPicPr>
                        <pic:nvPr/>
                      </pic:nvPicPr>
                      <pic:blipFill>
                        <a:blip r:embed="rId25"/>
                        <a:stretch/>
                      </pic:blipFill>
                      <pic:spPr bwMode="auto">
                        <a:xfrm>
                          <a:off x="0" y="0"/>
                          <a:ext cx="3103245" cy="95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44.3pt;height:75.2pt;mso-wrap-distance-left:0.0pt;mso-wrap-distance-top:0.0pt;mso-wrap-distance-right:0.0pt;mso-wrap-distance-bottom:0.0pt;" stroked="f">
                <v:path textboxrect="0,0,0,0"/>
                <v:imagedata r:id="rId25" o:title=""/>
              </v:shape>
            </w:pict>
          </mc:Fallback>
        </mc:AlternateContent>
      </w:r>
      <w:r/>
    </w:p>
    <w:p>
      <w:pPr>
        <w:spacing w:line="360" w:lineRule="auto"/>
        <w:rPr>
          <w:rFonts w:hAnsi="宋体" w:cs="宋体"/>
          <w:color w:val="auto"/>
          <w:highlight w:val="none"/>
        </w:rPr>
      </w:pPr>
      <w:r>
        <w:rPr>
          <w:rFonts w:hint="eastAsia" w:hAnsi="宋体" w:cs="宋体"/>
          <w:color w:val="auto"/>
          <w:highlight w:val="none"/>
        </w:rPr>
        <w:t xml:space="preserve">隔板正面压筋                           挂板正面压筋</w:t>
      </w:r>
      <w:r/>
    </w:p>
    <w:p>
      <w:pPr>
        <w:pStyle w:val="1097"/>
        <w:ind w:firstLine="0"/>
        <w:jc w:val="left"/>
        <w:keepLines w:val="0"/>
        <w:keepNext w:val="0"/>
        <w:pageBreakBefore w:val="0"/>
        <w:spacing w:line="360" w:lineRule="auto"/>
        <w:widowControl w:val="off"/>
        <w:rPr>
          <w:rFonts w:hAnsi="宋体" w:cs="宋体"/>
          <w:color w:val="auto"/>
          <w:sz w:val="24"/>
          <w:highlight w:val="none"/>
        </w:rPr>
      </w:pPr>
      <w:r>
        <w:rPr>
          <w:rFonts w:ascii="宋体" w:hAnsi="宋体" w:cs="宋体"/>
          <w:color w:val="auto"/>
          <w:szCs w:val="21"/>
          <w:highlight w:val="none"/>
        </w:rPr>
        <mc:AlternateContent>
          <mc:Choice Requires="wpg">
            <w:drawing>
              <wp:inline xmlns:wp="http://schemas.openxmlformats.org/drawingml/2006/wordprocessingDrawing" distT="0" distB="0" distL="0" distR="0">
                <wp:extent cx="2597785" cy="360045"/>
                <wp:effectExtent l="0" t="0" r="12065" b="1905"/>
                <wp:docPr id="15" name="图片 6" descr="643c93ec75f2cbada945d84640801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643c93ec75f2cbada945d84640801ee"/>
                        <pic:cNvPicPr>
                          <a:picLocks noChangeAspect="1"/>
                        </pic:cNvPicPr>
                        <pic:nvPr/>
                      </pic:nvPicPr>
                      <pic:blipFill>
                        <a:blip r:embed="rId26"/>
                        <a:srcRect l="99" t="30775" r="8712" b="47813"/>
                        <a:stretch/>
                      </pic:blipFill>
                      <pic:spPr bwMode="auto">
                        <a:xfrm>
                          <a:off x="0" y="0"/>
                          <a:ext cx="2597785" cy="360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4.5pt;height:28.3pt;mso-wrap-distance-left:0.0pt;mso-wrap-distance-top:0.0pt;mso-wrap-distance-right:0.0pt;mso-wrap-distance-bottom:0.0pt;" stroked="f">
                <v:path textboxrect="0,0,0,0"/>
                <v:imagedata r:id="rId26" o:title=""/>
              </v:shape>
            </w:pict>
          </mc:Fallback>
        </mc:AlternateContent>
      </w:r>
      <w:r>
        <w:rPr>
          <w:rFonts w:ascii="宋体" w:hAnsi="宋体" w:cs="宋体"/>
          <w:color w:val="auto"/>
          <w:szCs w:val="21"/>
          <w:highlight w:val="none"/>
        </w:rPr>
        <mc:AlternateContent>
          <mc:Choice Requires="wpg">
            <w:drawing>
              <wp:inline xmlns:wp="http://schemas.openxmlformats.org/drawingml/2006/wordprocessingDrawing" distT="0" distB="0" distL="0" distR="0">
                <wp:extent cx="2390140" cy="360045"/>
                <wp:effectExtent l="0" t="0" r="10160" b="1905"/>
                <wp:docPr id="16" name="图片 7" descr="21a05d306bef2ffa20663f0587b71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21a05d306bef2ffa20663f0587b71a5"/>
                        <pic:cNvPicPr>
                          <a:picLocks noChangeAspect="1"/>
                        </pic:cNvPicPr>
                        <pic:nvPr/>
                      </pic:nvPicPr>
                      <pic:blipFill>
                        <a:blip r:embed="rId27"/>
                        <a:srcRect l="-542" t="39610" r="14930" b="45515"/>
                        <a:stretch/>
                      </pic:blipFill>
                      <pic:spPr bwMode="auto">
                        <a:xfrm>
                          <a:off x="0" y="0"/>
                          <a:ext cx="2390140" cy="360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88.2pt;height:28.3pt;mso-wrap-distance-left:0.0pt;mso-wrap-distance-top:0.0pt;mso-wrap-distance-right:0.0pt;mso-wrap-distance-bottom:0.0pt;" stroked="f">
                <v:path textboxrect="0,0,0,0"/>
                <v:imagedata r:id="rId27" o:title=""/>
              </v:shape>
            </w:pict>
          </mc:Fallback>
        </mc:AlternateContent>
      </w:r>
      <w:r/>
    </w:p>
    <w:p>
      <w:pPr>
        <w:spacing w:line="360" w:lineRule="auto"/>
        <w:rPr>
          <w:rFonts w:hint="eastAsia"/>
          <w:color w:val="auto"/>
          <w:highlight w:val="none"/>
          <w:lang w:eastAsia="zh-CN"/>
        </w:rPr>
      </w:pPr>
      <w:r>
        <w:rPr>
          <w:rFonts w:hint="eastAsia" w:hAnsi="宋体" w:cs="宋体"/>
          <w:color w:val="auto"/>
          <w:highlight w:val="none"/>
        </w:rPr>
        <w:t xml:space="preserve">搁棒</w:t>
      </w:r>
      <w:r/>
    </w:p>
    <w:p>
      <w:pPr>
        <w:spacing w:line="360" w:lineRule="auto"/>
        <w:rPr>
          <w:rFonts w:hint="eastAsia" w:hAnsi="宋体" w:cs="宋体"/>
          <w:color w:val="auto"/>
          <w:highlight w:val="none"/>
          <w:lang w:val="en-US" w:eastAsia="zh-CN"/>
        </w:rPr>
      </w:pPr>
      <w:r>
        <w:rPr>
          <w:rFonts w:hint="eastAsia" w:hAnsi="宋体" w:cs="宋体"/>
          <w:color w:val="auto"/>
          <w:highlight w:val="none"/>
          <w:lang w:eastAsia="zh-CN"/>
        </w:rPr>
        <mc:AlternateContent>
          <mc:Choice Requires="wpg">
            <w:drawing>
              <wp:inline xmlns:wp="http://schemas.openxmlformats.org/drawingml/2006/wordprocessingDrawing" distT="0" distB="0" distL="0" distR="0">
                <wp:extent cx="1350010" cy="1800225"/>
                <wp:effectExtent l="0" t="0" r="2540" b="9525"/>
                <wp:docPr id="17" name="图片 22" descr="f295e5acacc8ad4aa4b5f368492d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2" descr="f295e5acacc8ad4aa4b5f368492d807"/>
                        <pic:cNvPicPr>
                          <a:picLocks noChangeAspect="1"/>
                        </pic:cNvPicPr>
                        <pic:nvPr/>
                      </pic:nvPicPr>
                      <pic:blipFill>
                        <a:blip r:embed="rId28"/>
                        <a:stretch/>
                      </pic:blipFill>
                      <pic:spPr bwMode="auto">
                        <a:xfrm>
                          <a:off x="0" y="0"/>
                          <a:ext cx="135001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6.3pt;height:141.8pt;mso-wrap-distance-left:0.0pt;mso-wrap-distance-top:0.0pt;mso-wrap-distance-right:0.0pt;mso-wrap-distance-bottom:0.0pt;" stroked="false">
                <v:path textboxrect="0,0,0,0"/>
                <v:imagedata r:id="rId28" o:title=""/>
              </v:shape>
            </w:pict>
          </mc:Fallback>
        </mc:AlternateContent>
      </w:r>
      <w:r>
        <w:rPr>
          <w:rFonts w:hint="eastAsia" w:hAnsi="宋体" w:cs="宋体"/>
          <w:color w:val="auto"/>
          <w:highlight w:val="none"/>
          <w:lang w:val="en-US" w:eastAsia="zh-CN"/>
        </w:rPr>
        <w:t xml:space="preserve">   </w:t>
      </w:r>
      <w:r>
        <w:rPr>
          <w:rFonts w:hint="eastAsia" w:hAnsi="宋体" w:cs="宋体"/>
          <w:color w:val="auto"/>
          <w:highlight w:val="none"/>
          <w:lang w:eastAsia="zh-CN"/>
        </w:rPr>
        <mc:AlternateContent>
          <mc:Choice Requires="wpg">
            <w:drawing>
              <wp:inline xmlns:wp="http://schemas.openxmlformats.org/drawingml/2006/wordprocessingDrawing" distT="0" distB="0" distL="0" distR="0">
                <wp:extent cx="1527810" cy="1800225"/>
                <wp:effectExtent l="0" t="0" r="15240" b="9525"/>
                <wp:docPr id="18" name="图片 23" descr="49b61b127c539e31fd8530ea04e14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 descr="49b61b127c539e31fd8530ea04e14d9"/>
                        <pic:cNvPicPr>
                          <a:picLocks noChangeAspect="1"/>
                        </pic:cNvPicPr>
                        <pic:nvPr/>
                      </pic:nvPicPr>
                      <pic:blipFill>
                        <a:blip r:embed="rId29"/>
                        <a:srcRect l="0" t="3034" r="0" b="8607"/>
                        <a:stretch/>
                      </pic:blipFill>
                      <pic:spPr bwMode="auto">
                        <a:xfrm>
                          <a:off x="0" y="0"/>
                          <a:ext cx="152781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0.3pt;height:141.8pt;mso-wrap-distance-left:0.0pt;mso-wrap-distance-top:0.0pt;mso-wrap-distance-right:0.0pt;mso-wrap-distance-bottom:0.0pt;" stroked="false">
                <v:path textboxrect="0,0,0,0"/>
                <v:imagedata r:id="rId29" o:title=""/>
              </v:shape>
            </w:pict>
          </mc:Fallback>
        </mc:AlternateContent>
      </w:r>
      <w:r>
        <w:rPr>
          <w:rFonts w:hint="eastAsia" w:hAnsi="宋体" w:cs="宋体"/>
          <w:color w:val="auto"/>
          <w:highlight w:val="none"/>
          <w:lang w:val="en-US" w:eastAsia="zh-CN"/>
        </w:rPr>
        <w:t xml:space="preserve">       </w:t>
      </w:r>
      <w:r>
        <w:rPr>
          <w:rFonts w:hint="default" w:hAnsi="宋体" w:cs="宋体"/>
          <w:color w:val="auto"/>
          <w:highlight w:val="none"/>
          <w:lang w:val="en-US" w:eastAsia="zh-CN"/>
        </w:rPr>
        <mc:AlternateContent>
          <mc:Choice Requires="wpg">
            <w:drawing>
              <wp:inline xmlns:wp="http://schemas.openxmlformats.org/drawingml/2006/wordprocessingDrawing" distT="0" distB="0" distL="0" distR="0">
                <wp:extent cx="1161415" cy="1800225"/>
                <wp:effectExtent l="0" t="0" r="635" b="9525"/>
                <wp:docPr id="19" name="图片 24" descr="94cc5b28d8acd906d3948d0a3d3ad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4" descr="94cc5b28d8acd906d3948d0a3d3ad18"/>
                        <pic:cNvPicPr>
                          <a:picLocks noChangeAspect="1"/>
                        </pic:cNvPicPr>
                        <pic:nvPr/>
                      </pic:nvPicPr>
                      <pic:blipFill>
                        <a:blip r:embed="rId30"/>
                        <a:srcRect l="10851" t="1627" r="4509" b="0"/>
                        <a:stretch/>
                      </pic:blipFill>
                      <pic:spPr bwMode="auto">
                        <a:xfrm>
                          <a:off x="0" y="0"/>
                          <a:ext cx="1161415"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1.4pt;height:141.8pt;mso-wrap-distance-left:0.0pt;mso-wrap-distance-top:0.0pt;mso-wrap-distance-right:0.0pt;mso-wrap-distance-bottom:0.0pt;" stroked="false">
                <v:path textboxrect="0,0,0,0"/>
                <v:imagedata r:id="rId30" o:title=""/>
              </v:shape>
            </w:pict>
          </mc:Fallback>
        </mc:AlternateContent>
      </w:r>
      <w:r/>
    </w:p>
    <w:p>
      <w:pPr>
        <w:spacing w:line="360" w:lineRule="auto"/>
        <w:rPr>
          <w:rFonts w:hint="default" w:hAnsi="宋体" w:cs="宋体"/>
          <w:color w:val="auto"/>
          <w:highlight w:val="none"/>
          <w:lang w:val="en-US" w:eastAsia="zh-CN"/>
        </w:rPr>
      </w:pPr>
      <w:r>
        <w:rPr>
          <w:rFonts w:hint="eastAsia" w:hAnsi="宋体" w:cs="宋体"/>
          <w:color w:val="auto"/>
          <w:highlight w:val="none"/>
          <w:lang w:val="en-US" w:eastAsia="zh-CN"/>
        </w:rPr>
        <w:t xml:space="preserve">        </w:t>
      </w:r>
      <w:r/>
    </w:p>
    <w:p>
      <w:pPr>
        <w:spacing w:line="360" w:lineRule="auto"/>
        <w:rPr>
          <w:rFonts w:hint="default" w:ascii="宋体" w:hAnsi="宋体" w:eastAsia="宋体" w:cs="宋体"/>
          <w:b/>
          <w:bCs/>
          <w:color w:val="auto"/>
          <w:sz w:val="28"/>
          <w:szCs w:val="28"/>
          <w:highlight w:val="none"/>
          <w:lang w:val="en-US" w:eastAsia="zh-CN"/>
        </w:rPr>
      </w:pPr>
      <w:r>
        <w:rPr>
          <w:rFonts w:hint="eastAsia" w:hAnsi="宋体" w:cs="宋体"/>
          <w:color w:val="auto"/>
          <w:highlight w:val="none"/>
          <w:lang w:eastAsia="zh-CN"/>
        </w:rPr>
        <w:t xml:space="preserve">侧板反面</w:t>
      </w:r>
      <w:r>
        <w:rPr>
          <w:rFonts w:hint="eastAsia" w:hAnsi="宋体" w:cs="宋体"/>
          <w:color w:val="auto"/>
          <w:highlight w:val="none"/>
          <w:lang w:val="en-US" w:eastAsia="zh-CN"/>
        </w:rPr>
        <w:t xml:space="preserve">                  </w:t>
      </w:r>
      <w:r>
        <w:rPr>
          <w:rFonts w:hint="eastAsia" w:hAnsi="宋体" w:cs="宋体"/>
          <w:color w:val="auto"/>
          <w:highlight w:val="none"/>
          <w:lang w:eastAsia="zh-CN"/>
        </w:rPr>
        <w:t xml:space="preserve">侧板正面</w:t>
      </w:r>
      <w:r>
        <w:rPr>
          <w:rFonts w:hint="eastAsia" w:hAnsi="宋体" w:cs="宋体"/>
          <w:color w:val="auto"/>
          <w:highlight w:val="none"/>
          <w:lang w:val="en-US" w:eastAsia="zh-CN"/>
        </w:rPr>
        <w:t xml:space="preserve">                      </w:t>
      </w:r>
      <w:r>
        <w:rPr>
          <w:rFonts w:hint="eastAsia" w:hAnsi="宋体" w:cs="宋体"/>
          <w:color w:val="auto"/>
          <w:highlight w:val="none"/>
          <w:lang w:eastAsia="zh-CN"/>
        </w:rPr>
        <w:t xml:space="preserve">底盘</w:t>
      </w:r>
      <w:r/>
    </w:p>
    <w:p>
      <w:pPr>
        <w:ind w:firstLine="562"/>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eastAsia="zh-CN"/>
        </w:rPr>
        <w:t xml:space="preserve">一</w:t>
      </w:r>
      <w:r>
        <w:rPr>
          <w:rFonts w:hint="eastAsia" w:ascii="宋体" w:hAnsi="宋体" w:cs="宋体"/>
          <w:b/>
          <w:bCs/>
          <w:color w:val="auto"/>
          <w:sz w:val="28"/>
          <w:szCs w:val="28"/>
          <w:highlight w:val="none"/>
        </w:rPr>
        <w:t xml:space="preserve">、合同文本</w:t>
      </w:r>
      <w:r/>
    </w:p>
    <w:p>
      <w:pPr>
        <w:rPr>
          <w:rFonts w:ascii="宋体" w:hAnsi="宋体" w:cs="宋体"/>
          <w:b/>
          <w:color w:val="auto"/>
          <w:spacing w:val="22"/>
          <w:sz w:val="32"/>
          <w:szCs w:val="32"/>
          <w:highlight w:val="none"/>
        </w:rPr>
      </w:pPr>
      <w:r>
        <w:rPr>
          <w:rFonts w:hint="eastAsia" w:ascii="宋体" w:hAnsi="宋体" w:cs="宋体"/>
          <w:b/>
          <w:color w:val="auto"/>
          <w:spacing w:val="22"/>
          <w:sz w:val="32"/>
          <w:szCs w:val="32"/>
          <w:highlight w:val="none"/>
        </w:rPr>
        <w:br w:type="page" w:clear="all"/>
      </w:r>
      <w:r/>
    </w:p>
    <w:p>
      <w:pPr>
        <w:pStyle w:val="938"/>
        <w:ind w:firstLine="200"/>
        <w:jc w:val="center"/>
        <w:spacing w:before="0" w:after="0" w:line="360" w:lineRule="auto"/>
        <w:rPr>
          <w:rFonts w:ascii="宋体" w:hAnsi="宋体" w:cs="宋体"/>
          <w:color w:val="auto"/>
          <w:sz w:val="32"/>
          <w:szCs w:val="32"/>
          <w:highlight w:val="none"/>
        </w:rPr>
      </w:pPr>
      <w:r>
        <w:rPr>
          <w:rFonts w:hint="eastAsia" w:ascii="宋体" w:hAnsi="宋体" w:cs="宋体"/>
          <w:color w:val="auto"/>
          <w:sz w:val="32"/>
          <w:highlight w:val="none"/>
        </w:rPr>
        <w:t xml:space="preserve">合同主要条款</w:t>
      </w:r>
      <w:r/>
    </w:p>
    <w:p>
      <w:pPr>
        <w:jc w:val="center"/>
        <w:spacing w:before="145" w:after="145"/>
        <w:rPr>
          <w:rFonts w:ascii="宋体" w:hAnsi="宋体"/>
          <w:b/>
          <w:bCs/>
          <w:color w:val="auto"/>
          <w:sz w:val="30"/>
          <w:szCs w:val="20"/>
          <w:highlight w:val="none"/>
        </w:rPr>
        <w:outlineLvl w:val="0"/>
      </w:pPr>
      <w:r>
        <w:rPr>
          <w:rFonts w:hint="eastAsia" w:ascii="宋体" w:hAnsi="宋体"/>
          <w:b/>
          <w:color w:val="auto"/>
          <w:sz w:val="30"/>
          <w:szCs w:val="21"/>
          <w:highlight w:val="none"/>
        </w:rPr>
        <w:t xml:space="preserve">江苏省政府采购合同（货物）（合同编号</w:t>
      </w:r>
      <w:r>
        <w:rPr>
          <w:rFonts w:hint="eastAsia" w:ascii="宋体" w:hAnsi="宋体"/>
          <w:b/>
          <w:color w:val="auto"/>
          <w:sz w:val="30"/>
          <w:szCs w:val="21"/>
          <w:highlight w:val="none"/>
          <w:lang w:val="en-US" w:eastAsia="zh-CN"/>
        </w:rPr>
        <w:t xml:space="preserve">  </w:t>
      </w:r>
      <w:r>
        <w:rPr>
          <w:rFonts w:hint="eastAsia" w:ascii="宋体" w:hAnsi="宋体"/>
          <w:b/>
          <w:color w:val="auto"/>
          <w:sz w:val="30"/>
          <w:szCs w:val="21"/>
          <w:highlight w:val="none"/>
        </w:rPr>
        <w:t xml:space="preserve">）</w:t>
      </w:r>
      <w:r/>
    </w:p>
    <w:p>
      <w:pPr>
        <w:jc w:val="left"/>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项目名称：</w:t>
      </w:r>
      <w:r>
        <w:rPr>
          <w:rFonts w:hint="eastAsia" w:ascii="宋体" w:hAnsi="宋体" w:eastAsia="宋体" w:cs="Courier New"/>
          <w:color w:val="auto"/>
          <w:sz w:val="24"/>
          <w:szCs w:val="24"/>
          <w:highlight w:val="none"/>
          <w:lang w:eastAsia="zh-CN"/>
        </w:rPr>
        <w:t xml:space="preserve">南通大学附属医院东院区密集架采购项目</w:t>
      </w:r>
      <w:r>
        <w:rPr>
          <w:rFonts w:ascii="宋体" w:hAnsi="宋体" w:eastAsia="宋体" w:cs="Courier New"/>
          <w:color w:val="auto"/>
          <w:sz w:val="24"/>
          <w:szCs w:val="24"/>
          <w:highlight w:val="none"/>
        </w:rPr>
        <w:t xml:space="preserve">                                       项目编号：</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甲方：（买方）_________</w:t>
      </w:r>
      <w:r/>
    </w:p>
    <w:p>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乙方：（卖方）_________</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eastAsia="zh-CN"/>
        </w:rPr>
        <w:t xml:space="preserve">南通大学附属医院东院区密集架采购</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标的名称：</w:t>
      </w:r>
      <w:r>
        <w:rPr>
          <w:rFonts w:hint="eastAsia" w:ascii="宋体" w:hAnsi="宋体" w:eastAsia="宋体" w:cs="Times New Roman"/>
          <w:color w:val="auto"/>
          <w:sz w:val="24"/>
          <w:szCs w:val="24"/>
          <w:highlight w:val="none"/>
          <w:lang w:eastAsia="zh-CN"/>
        </w:rPr>
        <w:t xml:space="preserve">密集架</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标的质量：</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标的数量（规模）：</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履行时间（期限）：</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履行地点：</w:t>
      </w:r>
      <w:r>
        <w:rPr>
          <w:rFonts w:hint="eastAsia" w:ascii="宋体" w:hAnsi="宋体" w:eastAsia="宋体" w:cs="Times New Roman"/>
          <w:color w:val="auto"/>
          <w:sz w:val="24"/>
          <w:szCs w:val="24"/>
          <w:highlight w:val="none"/>
          <w:lang w:eastAsia="zh-CN"/>
        </w:rPr>
        <w:t xml:space="preserve">南通大学附属医院东院区</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履行方式：</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包装方式：</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本合同金额为（大写）：_______圆（___元）人民币或其他币种。</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3.1乙方应按招标文件规定的时间向甲方提供使用货物(包含与货物相关的服务)的有关技术资料。</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项目经办人应提醒采购人注意，采购项目涉及采购标的的知识产权归属、处理的，如订购、设计、定制开发的信息化建设项目等，应当约定知识产权的归属和处理方式。招标文件交采购人确认后正式发布前删除该备注）。</w:t>
      </w:r>
      <w:r/>
    </w:p>
    <w:p>
      <w:pPr>
        <w:spacing w:before="120" w:after="120"/>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乙方保证所交付的货物（包含与货物相关的服务）的所有权完全属于乙方且无任何抵押、查封等产权瑕疵。</w:t>
      </w:r>
      <w:r/>
    </w:p>
    <w:p>
      <w:pPr>
        <w:ind w:left="410" w:hanging="410"/>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乙方交纳人民币_________元</w:t>
      </w:r>
      <w:r>
        <w:rPr>
          <w:rFonts w:hint="eastAsia" w:ascii="宋体" w:hAnsi="宋体" w:eastAsia="宋体" w:cs="Times New Roman"/>
          <w:color w:val="auto"/>
          <w:sz w:val="24"/>
          <w:szCs w:val="24"/>
          <w:highlight w:val="none"/>
          <w:lang w:eastAsia="zh-CN"/>
        </w:rPr>
        <w:t xml:space="preserve">（合同金额的</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作为本合同的履约保证金。</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6.2</w:t>
      </w:r>
      <w:r>
        <w:rPr>
          <w:rFonts w:hint="eastAsia" w:ascii="宋体" w:hAnsi="宋体" w:eastAsia="宋体" w:cs="Times New Roman"/>
          <w:color w:val="auto"/>
          <w:sz w:val="24"/>
          <w:szCs w:val="24"/>
          <w:highlight w:val="none"/>
        </w:rPr>
        <w:t xml:space="preserve">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6.3</w:t>
      </w:r>
      <w:r>
        <w:rPr>
          <w:rFonts w:hint="eastAsia" w:ascii="宋体" w:hAnsi="宋体" w:eastAsia="宋体" w:cs="Times New Roman"/>
          <w:color w:val="auto"/>
          <w:sz w:val="24"/>
          <w:szCs w:val="24"/>
          <w:highlight w:val="none"/>
        </w:rPr>
        <w:t xml:space="preserve">乙方全部履约合同义务，经甲方验收合格无质量、进度等问题的，甲方在本项目质保期满后一次性退还履约保证金，甲方若逾期退还履约保证金的，按照逾期部分的每日0.05%支付违约金；</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6.4</w:t>
      </w:r>
      <w:r>
        <w:rPr>
          <w:rFonts w:hint="eastAsia" w:ascii="宋体" w:hAnsi="宋体" w:eastAsia="宋体" w:cs="Times New Roman"/>
          <w:color w:val="auto"/>
          <w:sz w:val="24"/>
          <w:szCs w:val="24"/>
          <w:highlight w:val="none"/>
        </w:rPr>
        <w:t xml:space="preserve">发生以下情况的，履约保证金不予退还或部分退还：</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A.</w:t>
      </w:r>
      <w:r>
        <w:rPr>
          <w:rFonts w:hint="eastAsia" w:ascii="宋体" w:hAnsi="宋体" w:eastAsia="宋体" w:cs="Times New Roman"/>
          <w:color w:val="auto"/>
          <w:sz w:val="24"/>
          <w:szCs w:val="24"/>
          <w:highlight w:val="none"/>
        </w:rPr>
        <w:t xml:space="preserve">签订合同后，乙方不履行合同义务的，甲方有权全额扣除履约保证金，全额不予退还，同时甲方亦有权终止合同，乙方还须承担相应的法律赔偿责任。</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B.</w:t>
      </w:r>
      <w:r>
        <w:rPr>
          <w:rFonts w:hint="eastAsia" w:ascii="宋体" w:hAnsi="宋体" w:eastAsia="宋体" w:cs="Times New Roman"/>
          <w:color w:val="auto"/>
          <w:sz w:val="24"/>
          <w:szCs w:val="24"/>
          <w:highlight w:val="none"/>
        </w:rPr>
        <w:t xml:space="preserve">乙方在履约过程中发生违约行为，给甲方造成损失的，甲方有权在乙方缴纳的履约保证金中予以扣款，以弥补甲方经济损失，不足的部分乙方另外补齐。</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r/>
    </w:p>
    <w:p>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contextualSpacing/>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7.1乙方不得将合同标的转包给他人履行。</w:t>
      </w:r>
      <w:r/>
    </w:p>
    <w:p>
      <w:pPr>
        <w:contextualSpacing/>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7.2乙方不得将合同标的分包给他人履行。</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7.3乙方如有转包或未经甲方同意的分包行为，甲方有权给予终止合同。</w:t>
      </w:r>
      <w:r/>
    </w:p>
    <w:p>
      <w:pPr>
        <w:spacing w:before="120" w:after="120"/>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8.1合同款项的支付方式及进度安排</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全部货物安装调试完成并经</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验收合格后支付合同金额的90%，余款(合同金额10%)待验收合格满3年后无质量问题一次性付清。</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8.2当采购数量与实际使用数量不一致时，乙方应根据实际使用量供货，合同的最终结算金额按实际使用量乘以成交单价进行计算。</w:t>
      </w:r>
      <w:r/>
    </w:p>
    <w:p>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9.1本合同执行中相关的一切税费均由乙方负担。</w:t>
      </w:r>
      <w:r/>
    </w:p>
    <w:p>
      <w:pPr>
        <w:ind w:left="412" w:hanging="412"/>
        <w:spacing w:before="120" w:after="120"/>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乙方应按招标文件规定的货物性能、技术要求、质量标准向甲方提供未经使用的全新产品。</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⑴更换：由乙方承担所发生的全部费用。</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⑵贬值处理：由甲乙双方合议定价。</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⑶退货处理：乙方应退还甲方支付的合同款，同时应承担该货物的直接费用（运输、保险、检验、货款利息及银行手续费等）。</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如在使用过程中发生质量问题，乙方在接到甲方通知后在____小时内到达甲方现场。</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10.4 在质保期内，乙方应对货物出现的质量及安全问题负责处理解决并承担一切费用。</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10.5上述的货物免费保修期为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年（自交货验收合格之日起计），因人为因素出现的故障不在免费保修范围内。超过保修期的机器设备，终生维修，维修时只收部件成本费。</w:t>
      </w:r>
      <w:r/>
    </w:p>
    <w:p>
      <w:pPr>
        <w:pStyle w:val="945"/>
        <w:spacing w:before="120" w:after="12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十一、项目验收</w:t>
      </w:r>
      <w:r/>
    </w:p>
    <w:p>
      <w:pPr>
        <w:contextualSpacing/>
        <w:ind w:firstLine="560"/>
        <w:spacing w:line="360" w:lineRule="auto"/>
        <w:rPr>
          <w:rFonts w:hint="eastAsia" w:ascii="宋体" w:hAnsi="宋体" w:eastAsia="宋体" w:cs="Times New Roman"/>
          <w:color w:val="auto"/>
          <w:sz w:val="24"/>
          <w:szCs w:val="24"/>
          <w:highlight w:val="none"/>
          <w:lang w:val="zh-CN" w:eastAsia="zh-CN" w:bidi="ar-SA"/>
        </w:rPr>
      </w:pPr>
      <w:r/>
      <w:bookmarkStart w:id="87" w:name="OLE_LINK1"/>
      <w:r/>
      <w:bookmarkStart w:id="88" w:name="OLE_LINK2"/>
      <w:r>
        <w:rPr>
          <w:rFonts w:hint="eastAsia" w:ascii="宋体" w:hAnsi="宋体" w:eastAsia="宋体" w:cs="Times New Roman"/>
          <w:color w:val="auto"/>
          <w:sz w:val="24"/>
          <w:szCs w:val="24"/>
          <w:highlight w:val="none"/>
          <w:lang w:val="en-US" w:eastAsia="zh-CN" w:bidi="ar-SA"/>
        </w:rPr>
        <w:t xml:space="preserve">11</w:t>
      </w: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1乙方</w:t>
      </w:r>
      <w:r>
        <w:rPr>
          <w:rFonts w:hint="eastAsia" w:ascii="宋体" w:hAnsi="宋体" w:eastAsia="宋体" w:cs="Times New Roman"/>
          <w:color w:val="auto"/>
          <w:sz w:val="24"/>
          <w:szCs w:val="24"/>
          <w:highlight w:val="none"/>
          <w:lang w:val="zh-CN" w:eastAsia="zh-CN" w:bidi="ar-SA"/>
        </w:rPr>
        <w:t xml:space="preserve">货物送达后，</w:t>
      </w:r>
      <w:r>
        <w:rPr>
          <w:rFonts w:hint="eastAsia" w:ascii="宋体" w:hAnsi="宋体" w:eastAsia="宋体" w:cs="Times New Roman"/>
          <w:color w:val="auto"/>
          <w:sz w:val="24"/>
          <w:szCs w:val="24"/>
          <w:highlight w:val="none"/>
          <w:lang w:val="en-US" w:eastAsia="zh-CN" w:bidi="ar-SA"/>
        </w:rPr>
        <w:t xml:space="preserve">甲</w:t>
      </w:r>
      <w:r>
        <w:rPr>
          <w:rFonts w:hint="eastAsia" w:ascii="宋体" w:hAnsi="宋体" w:eastAsia="宋体" w:cs="Times New Roman"/>
          <w:color w:val="auto"/>
          <w:sz w:val="24"/>
          <w:szCs w:val="24"/>
          <w:highlight w:val="none"/>
          <w:lang w:val="zh-CN" w:eastAsia="zh-CN" w:bidi="ar-SA"/>
        </w:rPr>
        <w:t xml:space="preserve">方对其数量、品种、规格、运输保存方式等进行检查验收，如不合格应无条件退货或换货。</w:t>
      </w:r>
      <w:r/>
    </w:p>
    <w:p>
      <w:pPr>
        <w:contextualSpacing/>
        <w:ind w:firstLine="56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11.2乙方须确保所供产品材料的规格及对应品牌与投标文件保持一致，在合同履约过程中不得擅自更换。</w:t>
      </w:r>
      <w:r/>
    </w:p>
    <w:p>
      <w:pPr>
        <w:contextualSpacing/>
        <w:ind w:firstLine="56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11.3乙方提供的货物必须达到或优于招标文件“采购清单”或投标响应的技术需求中各项指标参数。</w:t>
      </w:r>
      <w:r/>
    </w:p>
    <w:p>
      <w:pPr>
        <w:contextualSpacing/>
        <w:ind w:firstLine="56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en-US" w:eastAsia="zh-CN" w:bidi="ar-SA"/>
        </w:rPr>
        <w:t xml:space="preserve">11</w:t>
      </w: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4全部货物安装调试完毕后</w:t>
      </w: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乙方</w:t>
      </w:r>
      <w:r>
        <w:rPr>
          <w:rFonts w:hint="eastAsia" w:ascii="宋体" w:hAnsi="宋体" w:eastAsia="宋体" w:cs="Times New Roman"/>
          <w:color w:val="auto"/>
          <w:sz w:val="24"/>
          <w:szCs w:val="24"/>
          <w:highlight w:val="none"/>
          <w:lang w:val="zh-CN" w:eastAsia="zh-CN" w:bidi="ar-SA"/>
        </w:rPr>
        <w:t xml:space="preserve">向</w:t>
      </w:r>
      <w:r>
        <w:rPr>
          <w:rFonts w:hint="eastAsia" w:ascii="宋体" w:hAnsi="宋体" w:eastAsia="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zh-CN" w:eastAsia="zh-CN" w:bidi="ar-SA"/>
        </w:rPr>
        <w:t xml:space="preserve">提交项目验收技术资料以及终验申请单，</w:t>
      </w:r>
      <w:r>
        <w:rPr>
          <w:rFonts w:hint="eastAsia" w:ascii="宋体" w:hAnsi="宋体" w:eastAsia="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zh-CN" w:eastAsia="zh-CN" w:bidi="ar-SA"/>
        </w:rPr>
        <w:t xml:space="preserve">收到申请后</w:t>
      </w: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zh-CN" w:eastAsia="zh-CN" w:bidi="ar-SA"/>
        </w:rPr>
        <w:t xml:space="preserve">个工作日内组织终验且验收无问题后签署终验单。</w:t>
      </w:r>
      <w:r/>
    </w:p>
    <w:p>
      <w:pPr>
        <w:contextualSpacing/>
        <w:ind w:firstLine="56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11.5质量和环保要求：按国家标准执行，无国家标准的，按行业标准执行；无国家和行业标准的，按甲方标准执行。</w:t>
      </w:r>
      <w:bookmarkEnd w:id="87"/>
      <w:r/>
      <w:bookmarkEnd w:id="88"/>
      <w:r/>
      <w:r/>
    </w:p>
    <w:p>
      <w:pPr>
        <w:pStyle w:val="945"/>
        <w:spacing w:before="120" w:after="120" w:line="360" w:lineRule="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 xml:space="preserve">十二、安全责任</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.1乙方须为进场人员购买意外伤害保险。</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.2乙方在本项目的交付过程中，凡出现安全事故，乙方承担全部法律责任和赔偿全部经济损失。</w:t>
      </w:r>
      <w:r/>
    </w:p>
    <w:p>
      <w:pPr>
        <w:pStyle w:val="945"/>
        <w:spacing w:before="120" w:after="120" w:line="360" w:lineRule="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 xml:space="preserve">十三、货物的包装、发运及运输</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.2 使用说明书、质量检验证明书、随配附件和工具以及清单一并附于货物内。</w:t>
      </w:r>
      <w:r/>
    </w:p>
    <w:p>
      <w:pPr>
        <w:contextualSpacing/>
        <w:ind w:firstLine="5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.3 货物在交付甲方前发生的风险均由乙方负责。</w:t>
      </w:r>
      <w:r/>
    </w:p>
    <w:p>
      <w:pPr>
        <w:pStyle w:val="945"/>
        <w:spacing w:before="120" w:after="120" w:line="360" w:lineRule="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 xml:space="preserve">十四、违约责任</w:t>
      </w:r>
      <w:r/>
    </w:p>
    <w:p>
      <w:pPr>
        <w:contextualSpacing/>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.1 乙方逾期交付货物的，乙方应按逾期交货总额每日千分之六向甲方支付违约金，由甲方从待付货款中扣除。逾期超过约定日期10个工作日不能交货的，甲方可解除本合同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乙方并承担相应的法律责任和经济赔偿</w:t>
      </w:r>
      <w:r>
        <w:rPr>
          <w:rFonts w:hint="eastAsia" w:ascii="宋体" w:hAnsi="宋体"/>
          <w:color w:val="auto"/>
          <w:sz w:val="24"/>
          <w:szCs w:val="24"/>
          <w:highlight w:val="none"/>
        </w:rPr>
        <w:t xml:space="preserve">。 </w:t>
      </w:r>
      <w:r/>
    </w:p>
    <w:p>
      <w:pPr>
        <w:contextualSpacing/>
        <w:ind w:firstLine="56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乙方并承担相应的法律责任和经济赔偿</w:t>
      </w:r>
      <w:r>
        <w:rPr>
          <w:rFonts w:hint="eastAsia" w:ascii="宋体" w:hAnsi="宋体"/>
          <w:color w:val="auto"/>
          <w:sz w:val="24"/>
          <w:szCs w:val="24"/>
          <w:highlight w:val="none"/>
        </w:rPr>
        <w:t xml:space="preserve">。</w:t>
      </w:r>
      <w:r/>
    </w:p>
    <w:p>
      <w:pPr>
        <w:pStyle w:val="945"/>
        <w:spacing w:before="120" w:after="120" w:line="360" w:lineRule="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 xml:space="preserve">十五、不可抗力事件处理</w:t>
      </w:r>
      <w:r/>
    </w:p>
    <w:p>
      <w:pPr>
        <w:contextualSpacing/>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在合同有效期内，任何一方因不可抗力事件导致不能履行合同，则合同履行期可延长，其延长期与不可抗力影响期相同。</w:t>
      </w:r>
      <w:r/>
    </w:p>
    <w:p>
      <w:pPr>
        <w:contextualSpacing/>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不可抗力事件发生后，应立即通知对方。</w:t>
      </w:r>
      <w:r/>
    </w:p>
    <w:p>
      <w:pPr>
        <w:contextualSpacing/>
        <w:ind w:firstLine="560"/>
        <w:spacing w:line="360" w:lineRule="auto"/>
        <w:rPr>
          <w:rFonts w:hint="eastAsia" w:ascii="宋体" w:hAnsi="宋体" w:eastAsia="宋体" w:cs="Courier New"/>
          <w:b/>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不可抗力事件延续120天以上，双方应通过友好协商，确定是否继续履行合同。</w:t>
      </w:r>
      <w:r/>
    </w:p>
    <w:p>
      <w:pPr>
        <w:pStyle w:val="945"/>
        <w:spacing w:before="120" w:after="120" w:line="360" w:lineRule="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 xml:space="preserve">十六、解决争议的方法</w:t>
      </w:r>
      <w:r/>
    </w:p>
    <w:p>
      <w:pPr>
        <w:contextualSpacing/>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.1甲乙双方因合同签订、履行而发生的一切争议，应通过友好协商解决。如协商不成由甲方住所地人民法院管辖。</w:t>
      </w:r>
      <w:r/>
    </w:p>
    <w:p>
      <w:pPr>
        <w:pStyle w:val="945"/>
        <w:spacing w:before="120" w:after="120" w:line="360" w:lineRule="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 xml:space="preserve">十七、合同生效及其它</w:t>
      </w:r>
      <w:r/>
    </w:p>
    <w:p>
      <w:pPr>
        <w:contextualSpacing/>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.1 合同经双方法定代表人或授权委托代表人签字并加盖单位公章后生效。</w:t>
      </w:r>
      <w:r/>
    </w:p>
    <w:p>
      <w:pPr>
        <w:contextualSpacing/>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 本合同正本一式肆份，具有同等法律效力，甲方执叁份、乙方执壹份。</w:t>
      </w:r>
      <w:r/>
    </w:p>
    <w:p>
      <w:pPr>
        <w:pStyle w:val="739"/>
        <w:ind w:firstLine="723"/>
        <w:jc w:val="both"/>
        <w:spacing w:before="0" w:beforeAutospacing="0" w:after="0" w:afterAutospacing="0" w:line="460" w:lineRule="exact"/>
        <w:shd w:val="clear" w:color="auto" w:fill="ffff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甲方：南通大学附属医院          乙方：</w:t>
      </w:r>
      <w:r/>
    </w:p>
    <w:p>
      <w:pPr>
        <w:pStyle w:val="739"/>
        <w:ind w:firstLine="723"/>
        <w:jc w:val="both"/>
        <w:spacing w:before="0" w:beforeAutospacing="0" w:after="0" w:afterAutospacing="0" w:line="460" w:lineRule="exact"/>
        <w:shd w:val="clear" w:color="auto" w:fill="ffff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法定代表人：                   法定代表人：</w:t>
      </w:r>
      <w:r/>
    </w:p>
    <w:p>
      <w:pPr>
        <w:pStyle w:val="739"/>
        <w:ind w:firstLine="723"/>
        <w:jc w:val="both"/>
        <w:spacing w:before="0" w:beforeAutospacing="0" w:after="0" w:afterAutospacing="0" w:line="460" w:lineRule="exact"/>
        <w:shd w:val="clear" w:color="auto" w:fill="ffff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委托代理人：                   委托代理人：</w:t>
      </w:r>
      <w:r/>
    </w:p>
    <w:p>
      <w:pPr>
        <w:pStyle w:val="739"/>
        <w:ind w:firstLine="723"/>
        <w:jc w:val="both"/>
        <w:spacing w:before="0" w:beforeAutospacing="0" w:after="0" w:afterAutospacing="0" w:line="460" w:lineRule="exact"/>
        <w:shd w:val="clear" w:color="auto" w:fill="ffffff"/>
        <w:rPr>
          <w:rFonts w:cs="宋体"/>
          <w:b/>
          <w:color w:val="auto"/>
          <w:sz w:val="36"/>
          <w:szCs w:val="36"/>
          <w:highlight w:val="none"/>
        </w:rPr>
      </w:pPr>
      <w:r>
        <w:rPr>
          <w:rFonts w:hint="eastAsia" w:ascii="宋体" w:hAnsi="宋体" w:cs="Courier New"/>
          <w:color w:val="auto"/>
          <w:sz w:val="24"/>
          <w:szCs w:val="24"/>
          <w:highlight w:val="none"/>
        </w:rPr>
        <w:t xml:space="preserve">日期：    年   月   日         日期：    年   月   日</w:t>
      </w:r>
      <w:r>
        <w:rPr>
          <w:rFonts w:hint="eastAsia" w:cs="宋体"/>
          <w:b/>
          <w:color w:val="auto"/>
          <w:sz w:val="36"/>
          <w:szCs w:val="36"/>
          <w:highlight w:val="none"/>
        </w:rPr>
        <w:br w:type="page" w:clear="all"/>
      </w:r>
      <w:r/>
    </w:p>
    <w:p>
      <w:pPr>
        <w:jc w:val="center"/>
        <w:rPr>
          <w:rFonts w:hint="eastAsia" w:ascii="宋体" w:hAnsi="宋体" w:cs="宋体"/>
          <w:bCs/>
          <w:color w:val="auto"/>
          <w:sz w:val="36"/>
          <w:szCs w:val="36"/>
          <w:highlight w:val="none"/>
        </w:rPr>
        <w:sectPr>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cs="宋体"/>
          <w:bCs/>
          <w:color w:val="auto"/>
          <w:sz w:val="36"/>
          <w:szCs w:val="36"/>
          <w:highlight w:val="none"/>
        </w:rPr>
      </w:r>
      <w:r/>
    </w:p>
    <w:p>
      <w:pPr>
        <w:pStyle w:val="1096"/>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廉洁协议</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立协议单位：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（甲方）</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（乙方）</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甲乙双方应当自觉遵守国家、省、市关于服务项目承发包和廉政建设的各项规定。</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甲方责任</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（一）甲方工作人员不得以任何形式接受乙方的礼金、有价证券、物品、好处费、感谢费等，不得在乙方报销任何应由个人支付的费用。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（二）甲方工作人员不得参加可能对公正执行公务有影响的宴请、健身和娱乐等活动。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（三）甲方工作人员不得接受、要求和暗示乙方和相关单位为个人装修住房、婚丧嫁娶、配偶子女的工作安排以及出国（境）、旅游等提供方便。</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（四）甲方工作人员不得向乙方和相关单位介绍或为配偶、子女、亲属参与同甲方管理合同有关的业务活动；不得以任何理由要求或暗示乙方和相关单位使用某种产品、材料和设备。</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（五）甲方工作人员不得向乙方和相关单位泄露应当保密或者可能影响公平竞争的相关情况。</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（六）甲方工作人员不得接受、要求和暗示乙方和相关单位为其购置或者提供通讯工具、交通工具、家电、高档办公用品等物品。</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（七）甲方工作人员不得在家里接待乙方有关事宜的询访。</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乙方责任</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（二）乙方不得为谋取不正当利益擅自与甲方工作人员、审计等相关人员就服务项目进行私下商谈或达成默契。</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（三）乙方不得为甲方工作人员、审计等相关人员装修住房、婚丧嫁娶、配偶子女的工作安排以及出国（境）、旅游等提供方便。</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（四）乙方不得以任何理由为甲方、审计等相关人员和相关单位及其个人组织有可能影响公正执行公务的宴请、健身、娱乐等活动。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（五）乙方不得为甲方工作人员、审计等相关人员购置或者提供通讯工具、交通工具、家电、高档办公用品等物品。</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违约责任</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（一）乙方如发现甲方工作人员有违反上述协议者，应向甲方纪委监察机关或甲方上级单位举报。甲方不得找任何借口对乙方进行报复。</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本协议一式四份。双方各随合同保存一份，交纪委、监察部门备案一份。</w:t>
      </w:r>
      <w:r/>
    </w:p>
    <w:p>
      <w:pPr>
        <w:ind w:firstLine="48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第六条  本廉洁协议作为</w:t>
      </w:r>
      <w:r>
        <w:rPr>
          <w:rFonts w:hint="eastAsia" w:ascii="宋体" w:hAnsi="宋体" w:eastAsia="宋体" w:cs="宋体"/>
          <w:color w:val="auto"/>
          <w:sz w:val="24"/>
          <w:highlight w:val="none"/>
          <w:u w:val="single"/>
          <w:lang w:eastAsia="zh-CN"/>
        </w:rPr>
        <w:t xml:space="preserve">南通大学附属医院东院区密集架采购项目</w:t>
      </w:r>
      <w:r>
        <w:rPr>
          <w:rFonts w:hint="eastAsia" w:ascii="宋体" w:hAnsi="宋体" w:eastAsia="宋体" w:cs="宋体"/>
          <w:color w:val="auto"/>
          <w:sz w:val="24"/>
          <w:highlight w:val="none"/>
        </w:rPr>
        <w:t xml:space="preserve">合同</w:t>
      </w:r>
      <w:r>
        <w:rPr>
          <w:rFonts w:hint="eastAsia" w:ascii="宋体" w:hAnsi="宋体" w:eastAsia="宋体" w:cs="宋体"/>
          <w:b/>
          <w:color w:val="auto"/>
          <w:sz w:val="24"/>
          <w:highlight w:val="none"/>
        </w:rPr>
        <w:t xml:space="preserve">（合同编号</w:t>
      </w:r>
      <w:r>
        <w:rPr>
          <w:rFonts w:hint="eastAsia" w:ascii="宋体" w:hAnsi="宋体" w:eastAsia="宋体" w:cs="宋体"/>
          <w:b/>
          <w:bCs/>
          <w:color w:val="auto"/>
          <w:highlight w:val="none"/>
        </w:rPr>
        <w:t xml:space="preserve">   </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的附件，与</w:t>
      </w:r>
      <w:r>
        <w:rPr>
          <w:rFonts w:hint="eastAsia" w:ascii="宋体" w:hAnsi="宋体" w:eastAsia="宋体" w:cs="宋体"/>
          <w:color w:val="auto"/>
          <w:sz w:val="24"/>
          <w:highlight w:val="none"/>
          <w:u w:val="single"/>
          <w:lang w:eastAsia="zh-CN"/>
        </w:rPr>
        <w:t xml:space="preserve">南通大学附属医院东院区密集架采购项目</w:t>
      </w:r>
      <w:r>
        <w:rPr>
          <w:rFonts w:hint="eastAsia" w:ascii="宋体" w:hAnsi="宋体" w:eastAsia="宋体" w:cs="宋体"/>
          <w:color w:val="auto"/>
          <w:sz w:val="24"/>
          <w:highlight w:val="none"/>
        </w:rPr>
        <w:t xml:space="preserve">合同具有同等法律效力。经协议双方签署盖章后  立即生效。</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甲方单位：（盖章）                   乙方单位：（盖章）</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委托代表人签字：                    委托代表人签字：</w:t>
      </w:r>
      <w:r/>
    </w:p>
    <w:p>
      <w:pPr>
        <w:jc w:val="center"/>
        <w:pageBreakBefore w:val="0"/>
        <w:spacing w:before="290" w:line="360" w:lineRule="auto"/>
        <w:tabs>
          <w:tab w:val="left" w:pos="1050" w:leader="none"/>
          <w:tab w:val="right" w:pos="9402" w:leader="dot"/>
        </w:tabs>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 年   月   日                             年   月   日</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南通大学附属医院</w:t>
      </w:r>
      <w:r/>
    </w:p>
    <w:p>
      <w:pPr>
        <w:jc w:val="center"/>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36"/>
          <w:szCs w:val="36"/>
          <w:highlight w:val="none"/>
        </w:rPr>
        <w:t xml:space="preserve">医药购销领域合作单位廉洁承诺书</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一、本单位和个人必须具备规定的资质、依照相关的市场规则进行购销领域交易活动，严格遵守国家法律法规和有关廉政规定。</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二、在购销领域过程中自觉遵循以下原则：</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（一）公开、公平、公正，诚实信用；</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（二）坚持质量第一、安全第一，依照质量价格比优化；</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（三）依法购销经营，严格执行纠正医药购销和医疗服务中不正之风和治理商业贿赂的有关规定和文件精神；</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（四）接受社会监督，依法依纪处理违规问题。</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它任何形式的商业贿赂。</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（二）私下通过医院工作人员销售，未经医院相关职能部门集体采购的医疗药品、医用耗材、医用检验试剂、医用植入材料、物资设备、建材等。</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（三）以低于成本的价格投标或销售，扰乱市场秩序；相互串通价格，排斥其他人的公平竞争，损害医院利益。</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（四）提供虚假证明文件，或者以其他方式弄虚作假，骗取销售。  </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（五）不按照规定要求与医院签订购销合同，或者不履行合同义务。</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（六）不履行对参与购销领域的关联人（个体医药供应商、医药代表、物资供应代表等）廉洁诚信约束义务。</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（七）违反《南通大学附属医院加强医药代表管理办法（试行）》开展工作。</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四、本承诺书一式</w:t>
      </w:r>
      <w:r>
        <w:rPr>
          <w:rFonts w:hint="eastAsia" w:ascii="宋体" w:hAnsi="宋体" w:eastAsia="宋体" w:cs="宋体"/>
          <w:color w:val="auto"/>
          <w:sz w:val="24"/>
          <w:szCs w:val="21"/>
          <w:highlight w:val="none"/>
          <w:lang w:val="en-US" w:eastAsia="zh-CN"/>
        </w:rPr>
        <w:t xml:space="preserve">肆</w:t>
      </w:r>
      <w:r>
        <w:rPr>
          <w:rFonts w:hint="eastAsia" w:ascii="宋体" w:hAnsi="宋体" w:eastAsia="宋体" w:cs="宋体"/>
          <w:color w:val="auto"/>
          <w:sz w:val="24"/>
          <w:szCs w:val="21"/>
          <w:highlight w:val="none"/>
        </w:rPr>
        <w:t xml:space="preserve">份，医院执</w:t>
      </w:r>
      <w:r>
        <w:rPr>
          <w:rFonts w:hint="eastAsia" w:ascii="宋体" w:hAnsi="宋体" w:eastAsia="宋体" w:cs="宋体"/>
          <w:color w:val="auto"/>
          <w:sz w:val="24"/>
          <w:szCs w:val="21"/>
          <w:highlight w:val="none"/>
          <w:lang w:val="en-US" w:eastAsia="zh-CN"/>
        </w:rPr>
        <w:t xml:space="preserve">叁</w:t>
      </w:r>
      <w:r>
        <w:rPr>
          <w:rFonts w:hint="eastAsia" w:ascii="宋体" w:hAnsi="宋体" w:eastAsia="宋体" w:cs="宋体"/>
          <w:color w:val="auto"/>
          <w:sz w:val="24"/>
          <w:szCs w:val="21"/>
          <w:highlight w:val="none"/>
        </w:rPr>
        <w:t xml:space="preserve">份</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承诺单位执</w:t>
      </w:r>
      <w:r>
        <w:rPr>
          <w:rFonts w:hint="eastAsia" w:ascii="宋体" w:hAnsi="宋体" w:eastAsia="宋体" w:cs="宋体"/>
          <w:color w:val="auto"/>
          <w:sz w:val="24"/>
          <w:szCs w:val="21"/>
          <w:highlight w:val="none"/>
          <w:lang w:val="en-US" w:eastAsia="zh-CN"/>
        </w:rPr>
        <w:t xml:space="preserve">壹</w:t>
      </w:r>
      <w:r>
        <w:rPr>
          <w:rFonts w:hint="eastAsia" w:ascii="宋体" w:hAnsi="宋体" w:eastAsia="宋体" w:cs="宋体"/>
          <w:color w:val="auto"/>
          <w:sz w:val="24"/>
          <w:szCs w:val="21"/>
          <w:highlight w:val="none"/>
        </w:rPr>
        <w:t xml:space="preserve">份。自签字、盖章之日起生效。</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承诺单位（盖章）：</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承诺人：</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20    年   月   日</w:t>
      </w:r>
      <w:r/>
    </w:p>
    <w:p>
      <w:pPr>
        <w:pStyle w:val="742"/>
        <w:pageBreakBefore w:val="0"/>
        <w:spacing w:line="360" w:lineRule="auto"/>
        <w:rPr>
          <w:rFonts w:hint="eastAsia"/>
          <w:color w:val="auto"/>
          <w:highlight w:val="none"/>
        </w:rPr>
      </w:pPr>
      <w:r>
        <w:rPr>
          <w:rFonts w:hint="eastAsia"/>
          <w:color w:val="auto"/>
          <w:highlight w:val="none"/>
        </w:rPr>
      </w:r>
      <w:r/>
    </w:p>
    <w:p>
      <w:pPr>
        <w:pStyle w:val="742"/>
        <w:pageBreakBefore w:val="0"/>
        <w:spacing w:line="360" w:lineRule="auto"/>
        <w:rPr>
          <w:rFonts w:hint="eastAsia"/>
          <w:color w:val="auto"/>
          <w:highlight w:val="none"/>
        </w:rPr>
      </w:pPr>
      <w:r>
        <w:rPr>
          <w:rFonts w:hint="eastAsia"/>
          <w:color w:val="auto"/>
          <w:highlight w:val="none"/>
        </w:rPr>
      </w:r>
      <w:r/>
    </w:p>
    <w:p>
      <w:pPr>
        <w:pStyle w:val="742"/>
        <w:pageBreakBefore w:val="0"/>
        <w:spacing w:line="360" w:lineRule="auto"/>
        <w:rPr>
          <w:rFonts w:hint="eastAsia"/>
          <w:color w:val="auto"/>
          <w:highlight w:val="none"/>
        </w:rPr>
      </w:pPr>
      <w:r>
        <w:rPr>
          <w:rFonts w:hint="eastAsia"/>
          <w:color w:val="auto"/>
          <w:highlight w:val="none"/>
        </w:rPr>
      </w:r>
      <w:r/>
    </w:p>
    <w:p>
      <w:pPr>
        <w:pStyle w:val="742"/>
        <w:pageBreakBefore w:val="0"/>
        <w:spacing w:line="360" w:lineRule="auto"/>
        <w:rPr>
          <w:rFonts w:hint="eastAsia"/>
          <w:color w:val="auto"/>
          <w:highlight w:val="none"/>
        </w:rPr>
      </w:pPr>
      <w:r>
        <w:rPr>
          <w:rFonts w:hint="eastAsia"/>
          <w:color w:val="auto"/>
          <w:highlight w:val="none"/>
        </w:rPr>
      </w:r>
      <w:r/>
    </w:p>
    <w:p>
      <w:pPr>
        <w:pStyle w:val="742"/>
        <w:pageBreakBefore w:val="0"/>
        <w:spacing w:line="360" w:lineRule="auto"/>
        <w:rPr>
          <w:rFonts w:hint="eastAsia"/>
          <w:color w:val="auto"/>
          <w:highlight w:val="none"/>
        </w:rPr>
      </w:pPr>
      <w:r>
        <w:rPr>
          <w:rFonts w:hint="eastAsia"/>
          <w:color w:val="auto"/>
          <w:highlight w:val="none"/>
        </w:rPr>
      </w:r>
      <w:r/>
    </w:p>
    <w:p>
      <w:pPr>
        <w:pStyle w:val="742"/>
        <w:pageBreakBefore w:val="0"/>
        <w:spacing w:line="360" w:lineRule="auto"/>
        <w:rPr>
          <w:rFonts w:hint="eastAsia"/>
          <w:color w:val="auto"/>
          <w:highlight w:val="none"/>
        </w:rPr>
      </w:pPr>
      <w:r>
        <w:rPr>
          <w:rFonts w:hint="eastAsia"/>
          <w:color w:val="auto"/>
          <w:highlight w:val="none"/>
        </w:rPr>
      </w:r>
      <w:r/>
    </w:p>
    <w:p>
      <w:pPr>
        <w:jc w:val="both"/>
        <w:rPr>
          <w:rFonts w:hint="eastAsia" w:ascii="宋体" w:hAnsi="宋体" w:cs="宋体"/>
          <w:bCs/>
          <w:color w:val="auto"/>
          <w:sz w:val="36"/>
          <w:szCs w:val="36"/>
          <w:highlight w:val="none"/>
        </w:rPr>
        <w:sectPr>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第四部分  开标和评标</w:t>
      </w:r>
      <w:r/>
    </w:p>
    <w:p>
      <w:pPr>
        <w:pStyle w:val="1011"/>
        <w:ind w:left="0" w:right="0" w:firstLine="562"/>
        <w:jc w:val="left"/>
        <w:spacing w:before="0" w:after="0"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11"/>
        <w:ind w:left="0" w:right="0" w:firstLine="562"/>
        <w:jc w:val="left"/>
        <w:spacing w:before="0" w:after="0"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（一）招标人（代表）对投标人资格进行审查</w:t>
      </w:r>
      <w:r/>
    </w:p>
    <w:p>
      <w:pPr>
        <w:pStyle w:val="1015"/>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015"/>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color w:val="auto"/>
          <w:sz w:val="28"/>
          <w:szCs w:val="28"/>
          <w:highlight w:val="none"/>
          <w:lang w:val="zh-CN"/>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70</w:t>
      </w:r>
      <w:r>
        <w:rPr>
          <w:rFonts w:hint="eastAsia" w:ascii="宋体" w:hAnsi="宋体" w:cs="宋体"/>
          <w:color w:val="auto"/>
          <w:sz w:val="28"/>
          <w:szCs w:val="28"/>
          <w:highlight w:val="none"/>
          <w:lang w:val="zh-CN"/>
        </w:rPr>
        <w:t xml:space="preserve">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787"/>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787"/>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bl>
      <w:tblPr>
        <w:tblStyle w:val="712"/>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026"/>
        <w:gridCol w:w="4682"/>
        <w:gridCol w:w="824"/>
        <w:gridCol w:w="709"/>
        <w:gridCol w:w="899"/>
      </w:tblGrid>
      <w:tr>
        <w:trPr>
          <w:jc w:val="center"/>
          <w:trHeight w:val="0"/>
        </w:trPr>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最高分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最低分</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主/客观分</w:t>
            </w:r>
            <w:r/>
          </w:p>
        </w:tc>
      </w:tr>
      <w:tr>
        <w:trPr>
          <w:jc w:val="center"/>
          <w:trHeight w:val="0"/>
        </w:trPr>
        <w:tc>
          <w:tcPr>
            <w:tcBorders>
              <w:left w:val="single" w:color="auto" w:sz="4" w:space="0"/>
              <w:bottom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Borders>
              <w:left w:val="single" w:color="auto" w:sz="4" w:space="0"/>
              <w:right w:val="single" w:color="auto" w:sz="4" w:space="0"/>
            </w:tcBorders>
            <w:tcW w:w="1026" w:type="dxa"/>
            <w:vAlign w:val="center"/>
            <w:textDirection w:val="lrTb"/>
            <w:noWrap w:val="false"/>
          </w:tcPr>
          <w:p>
            <w:pPr>
              <w:jc w:val="center"/>
              <w:keepLines w:val="0"/>
              <w:keepNext w:val="0"/>
              <w:pageBreakBefore w:val="0"/>
              <w:spacing w:line="380" w:lineRule="exact"/>
              <w:widowControl w:val="off"/>
              <w:rPr>
                <w:color w:val="auto"/>
                <w:sz w:val="24"/>
                <w:szCs w:val="24"/>
                <w:highlight w:val="none"/>
              </w:rPr>
            </w:pPr>
            <w:r>
              <w:rPr>
                <w:rFonts w:hint="eastAsia"/>
                <w:color w:val="auto"/>
                <w:sz w:val="24"/>
                <w:szCs w:val="24"/>
                <w:highlight w:val="none"/>
              </w:rPr>
              <w:t xml:space="preserve">技术响应</w:t>
            </w:r>
            <w:r/>
          </w:p>
          <w:p>
            <w:pPr>
              <w:jc w:val="both"/>
              <w:keepLines w:val="0"/>
              <w:keepNext w:val="0"/>
              <w:pageBreakBefore w:val="0"/>
              <w:spacing w:line="380" w:lineRule="exact"/>
              <w:widowControl w:val="off"/>
              <w:rPr>
                <w:color w:val="auto"/>
                <w:sz w:val="24"/>
                <w:szCs w:val="24"/>
                <w:highlight w:val="none"/>
              </w:rPr>
            </w:pPr>
            <w:r>
              <w:rPr>
                <w:color w:val="auto"/>
                <w:sz w:val="24"/>
                <w:szCs w:val="24"/>
                <w:highlight w:val="none"/>
              </w:rPr>
            </w:r>
            <w:r/>
          </w:p>
        </w:tc>
        <w:tc>
          <w:tcPr>
            <w:tcBorders>
              <w:top w:val="single" w:color="auto" w:sz="4" w:space="0"/>
              <w:left w:val="single" w:color="auto" w:sz="4" w:space="0"/>
              <w:right w:val="single" w:color="auto" w:sz="4" w:space="0"/>
            </w:tcBorders>
            <w:tcW w:w="4682" w:type="dxa"/>
            <w:vAlign w:val="center"/>
            <w:textDirection w:val="lrTb"/>
            <w:noWrap w:val="false"/>
          </w:tcPr>
          <w:p>
            <w:pPr>
              <w:ind w:firstLine="480"/>
              <w:jc w:val="left"/>
              <w:rPr>
                <w:rFonts w:hint="eastAsia"/>
                <w:color w:val="auto"/>
                <w:sz w:val="24"/>
                <w:szCs w:val="24"/>
                <w:highlight w:val="none"/>
              </w:rPr>
            </w:pPr>
            <w:r>
              <w:rPr>
                <w:rFonts w:hint="eastAsia"/>
                <w:color w:val="auto"/>
                <w:sz w:val="24"/>
                <w:szCs w:val="24"/>
                <w:highlight w:val="none"/>
              </w:rPr>
              <w:t xml:space="preserve">评委根据投标文件中《技术部分正负偏离表</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带</w:t>
            </w:r>
            <w:r>
              <w:rPr>
                <w:rFonts w:hint="eastAsia"/>
                <w:color w:val="auto"/>
                <w:sz w:val="24"/>
                <w:szCs w:val="24"/>
                <w:highlight w:val="none"/>
              </w:rPr>
              <w:t xml:space="preserve">“▲”）》，结合投标文件提供的</w:t>
            </w:r>
            <w:r>
              <w:rPr>
                <w:rFonts w:hint="eastAsia"/>
                <w:color w:val="auto"/>
                <w:sz w:val="24"/>
                <w:szCs w:val="24"/>
                <w:highlight w:val="none"/>
                <w:lang w:val="en-US" w:eastAsia="zh-CN"/>
              </w:rPr>
              <w:t xml:space="preserve">承诺函</w:t>
            </w:r>
            <w:r>
              <w:rPr>
                <w:rFonts w:hint="eastAsia"/>
                <w:color w:val="auto"/>
                <w:sz w:val="24"/>
                <w:szCs w:val="24"/>
                <w:highlight w:val="none"/>
              </w:rPr>
              <w:t xml:space="preserve">等进行评审：</w:t>
            </w:r>
            <w:r/>
          </w:p>
          <w:p>
            <w:pPr>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加注“▲”号的重要指标</w:t>
            </w:r>
            <w:r>
              <w:rPr>
                <w:rFonts w:hint="eastAsia" w:ascii="Times New Roman" w:hAnsi="Times New Roman" w:eastAsia="宋体" w:cs="Times New Roman"/>
                <w:color w:val="auto"/>
                <w:sz w:val="24"/>
                <w:szCs w:val="24"/>
                <w:highlight w:val="none"/>
                <w:lang w:eastAsia="zh-CN"/>
              </w:rPr>
              <w:t xml:space="preserve">（共</w:t>
            </w:r>
            <w:r>
              <w:rPr>
                <w:rFonts w:hint="eastAsia" w:ascii="Times New Roman" w:hAnsi="Times New Roman" w:eastAsia="宋体" w:cs="Times New Roman"/>
                <w:color w:val="auto"/>
                <w:sz w:val="24"/>
                <w:szCs w:val="24"/>
                <w:highlight w:val="none"/>
                <w:lang w:val="en-US" w:eastAsia="zh-CN"/>
              </w:rPr>
              <w:t xml:space="preserve">10项），</w:t>
            </w:r>
            <w:r>
              <w:rPr>
                <w:rFonts w:hint="eastAsia" w:ascii="Times New Roman" w:hAnsi="Times New Roman" w:eastAsia="宋体" w:cs="Times New Roman"/>
                <w:color w:val="auto"/>
                <w:sz w:val="24"/>
                <w:szCs w:val="24"/>
                <w:highlight w:val="none"/>
              </w:rPr>
              <w:t xml:space="preserve">有一项正偏离或响应加</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rPr>
                <w:rFonts w:hint="eastAsia" w:ascii="Times New Roman" w:hAnsi="Times New Roman" w:eastAsia="宋体" w:cs="Times New Roman"/>
                <w:color w:val="auto"/>
                <w:sz w:val="24"/>
                <w:szCs w:val="24"/>
                <w:highlight w:val="none"/>
                <w:lang w:eastAsia="zh-CN"/>
              </w:rPr>
              <w:t xml:space="preserve">最高加</w:t>
            </w:r>
            <w:r>
              <w:rPr>
                <w:rFonts w:hint="eastAsia" w:ascii="Times New Roman" w:hAnsi="Times New Roman" w:eastAsia="宋体" w:cs="Times New Roman"/>
                <w:color w:val="auto"/>
                <w:sz w:val="24"/>
                <w:szCs w:val="24"/>
                <w:highlight w:val="none"/>
                <w:lang w:val="en-US" w:eastAsia="zh-CN"/>
              </w:rPr>
              <w:t xml:space="preserve">30分</w:t>
            </w:r>
            <w:r>
              <w:rPr>
                <w:rFonts w:hint="eastAsia" w:ascii="Times New Roman" w:hAnsi="Times New Roman" w:eastAsia="宋体" w:cs="Times New Roman"/>
                <w:color w:val="auto"/>
                <w:sz w:val="24"/>
                <w:szCs w:val="24"/>
                <w:highlight w:val="none"/>
              </w:rPr>
              <w:t xml:space="preserve">。</w:t>
            </w:r>
            <w:r/>
          </w:p>
          <w:p>
            <w:pPr>
              <w:ind w:firstLine="480"/>
              <w:jc w:val="left"/>
              <w:rPr>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注：投标人需按照本采购文件第三部分项目需求“三、智能存储架技术参数，（八）密集架质量”的技术要求，在《技术部分正负偏离表（带“▲”）》中如实详细填</w:t>
            </w:r>
            <w:r>
              <w:rPr>
                <w:rFonts w:hint="eastAsia" w:ascii="Times New Roman" w:hAnsi="Times New Roman" w:eastAsia="宋体" w:cs="Times New Roman"/>
                <w:color w:val="auto"/>
                <w:sz w:val="24"/>
                <w:szCs w:val="24"/>
                <w:highlight w:val="none"/>
              </w:rPr>
              <w:t xml:space="preserve">列所投产品的参数，并按要求提供</w:t>
            </w:r>
            <w:r>
              <w:rPr>
                <w:rFonts w:hint="eastAsia" w:cs="Times New Roman"/>
                <w:color w:val="auto"/>
                <w:sz w:val="24"/>
                <w:szCs w:val="24"/>
                <w:highlight w:val="none"/>
                <w:lang w:val="en-US" w:eastAsia="zh-CN"/>
              </w:rPr>
              <w:t xml:space="preserve">承诺函</w:t>
            </w:r>
            <w:r>
              <w:rPr>
                <w:rFonts w:hint="eastAsia"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未提供或提供不满要求的</w:t>
            </w:r>
            <w:r>
              <w:rPr>
                <w:rFonts w:hint="eastAsia" w:ascii="Times New Roman" w:hAnsi="Times New Roman" w:eastAsia="宋体" w:cs="Times New Roman"/>
                <w:color w:val="auto"/>
                <w:sz w:val="24"/>
                <w:szCs w:val="24"/>
                <w:highlight w:val="none"/>
              </w:rPr>
              <w:t xml:space="preserve">评标委员会做负偏离处理。</w:t>
            </w:r>
            <w:r/>
          </w:p>
        </w:tc>
        <w:tc>
          <w:tcPr>
            <w:tcBorders>
              <w:top w:val="single" w:color="auto" w:sz="4" w:space="0"/>
              <w:left w:val="single" w:color="auto" w:sz="4" w:space="0"/>
              <w:right w:val="single" w:color="auto" w:sz="4" w:space="0"/>
            </w:tcBorders>
            <w:tcW w:w="824" w:type="dxa"/>
            <w:vAlign w:val="center"/>
            <w:textDirection w:val="lrTb"/>
            <w:noWrap w:val="false"/>
          </w:tcPr>
          <w:p>
            <w:pPr>
              <w:jc w:val="center"/>
              <w:rPr>
                <w:rFonts w:hint="default"/>
                <w:color w:val="auto"/>
                <w:sz w:val="24"/>
                <w:szCs w:val="24"/>
                <w:highlight w:val="none"/>
                <w:lang w:val="en-US"/>
              </w:rPr>
            </w:pPr>
            <w:r>
              <w:rPr>
                <w:rFonts w:hint="eastAsia"/>
                <w:color w:val="auto"/>
                <w:sz w:val="24"/>
                <w:szCs w:val="24"/>
                <w:highlight w:val="none"/>
                <w:lang w:val="en-US" w:eastAsia="zh-CN"/>
              </w:rPr>
              <w:t xml:space="preserve">30</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0</w:t>
            </w:r>
            <w:r/>
          </w:p>
        </w:tc>
        <w:tc>
          <w:tcPr>
            <w:tcBorders>
              <w:top w:val="single" w:color="auto" w:sz="4" w:space="0"/>
              <w:left w:val="single" w:color="auto" w:sz="4" w:space="0"/>
              <w:right w:val="single" w:color="auto" w:sz="4" w:space="0"/>
            </w:tcBorders>
            <w:tcW w:w="89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客观分</w:t>
            </w:r>
            <w:r/>
          </w:p>
        </w:tc>
      </w:tr>
      <w:tr>
        <w:trPr>
          <w:jc w:val="center"/>
          <w:trHeight w:val="4024"/>
        </w:trPr>
        <w:tc>
          <w:tcPr>
            <w:tcBorders>
              <w:top w:val="single" w:color="auto" w:sz="4" w:space="0"/>
              <w:left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Borders>
              <w:top w:val="single" w:color="auto" w:sz="4" w:space="0"/>
              <w:left w:val="single" w:color="auto" w:sz="4" w:space="0"/>
              <w:right w:val="single" w:color="auto" w:sz="4" w:space="0"/>
            </w:tcBorders>
            <w:tcW w:w="102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信誉及综合实力</w:t>
            </w:r>
            <w:r/>
          </w:p>
        </w:tc>
        <w:tc>
          <w:tcPr>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ind w:firstLine="480"/>
              <w:jc w:val="left"/>
              <w:rPr>
                <w:color w:val="auto"/>
                <w:sz w:val="24"/>
                <w:szCs w:val="24"/>
                <w:highlight w:val="none"/>
              </w:rPr>
            </w:pPr>
            <w:r>
              <w:rPr>
                <w:rFonts w:hint="eastAsia"/>
                <w:color w:val="auto"/>
                <w:sz w:val="24"/>
                <w:szCs w:val="24"/>
                <w:highlight w:val="none"/>
              </w:rPr>
              <w:t xml:space="preserve">1.投标人或制造商具有ISO9001质量管理体系认证、ISO14001环境管理体系认证</w:t>
            </w:r>
            <w:r>
              <w:rPr>
                <w:rFonts w:hint="eastAsia"/>
                <w:color w:val="auto"/>
                <w:sz w:val="24"/>
                <w:szCs w:val="24"/>
                <w:highlight w:val="none"/>
                <w:lang w:eastAsia="zh-CN"/>
              </w:rPr>
              <w:t xml:space="preserve">、</w:t>
            </w:r>
            <w:r>
              <w:rPr>
                <w:rFonts w:hint="eastAsia"/>
                <w:color w:val="auto"/>
                <w:sz w:val="24"/>
                <w:szCs w:val="24"/>
                <w:highlight w:val="none"/>
              </w:rPr>
              <w:t xml:space="preserve">ISO</w:t>
            </w:r>
            <w:r>
              <w:rPr>
                <w:rFonts w:hint="eastAsia"/>
                <w:color w:val="auto"/>
                <w:sz w:val="24"/>
                <w:szCs w:val="24"/>
                <w:highlight w:val="none"/>
                <w:lang w:val="en-US" w:eastAsia="zh-CN"/>
              </w:rPr>
              <w:t xml:space="preserve">45</w:t>
            </w:r>
            <w:r>
              <w:rPr>
                <w:rFonts w:hint="eastAsia"/>
                <w:color w:val="auto"/>
                <w:sz w:val="24"/>
                <w:szCs w:val="24"/>
                <w:highlight w:val="none"/>
              </w:rPr>
              <w:t xml:space="preserve">00</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职业健康安全管理体系认证证书</w:t>
            </w:r>
            <w:r>
              <w:rPr>
                <w:rFonts w:hint="eastAsia"/>
                <w:color w:val="auto"/>
                <w:sz w:val="24"/>
                <w:szCs w:val="24"/>
                <w:highlight w:val="none"/>
              </w:rPr>
              <w:t xml:space="preserve">每个得</w:t>
            </w:r>
            <w:r>
              <w:rPr>
                <w:rFonts w:hint="eastAsia"/>
                <w:color w:val="auto"/>
                <w:sz w:val="24"/>
                <w:szCs w:val="24"/>
                <w:highlight w:val="none"/>
                <w:lang w:val="en-US" w:eastAsia="zh-CN"/>
              </w:rPr>
              <w:t xml:space="preserve">2</w:t>
            </w:r>
            <w:r>
              <w:rPr>
                <w:rFonts w:hint="eastAsia"/>
                <w:color w:val="auto"/>
                <w:sz w:val="24"/>
                <w:szCs w:val="24"/>
                <w:highlight w:val="none"/>
              </w:rPr>
              <w:t xml:space="preserve">分，本项最高得分</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ind w:firstLine="480"/>
              <w:jc w:val="left"/>
              <w:rPr>
                <w:rFonts w:hint="eastAsia"/>
                <w:color w:val="auto"/>
                <w:sz w:val="24"/>
                <w:szCs w:val="24"/>
                <w:highlight w:val="none"/>
              </w:rPr>
            </w:pPr>
            <w:r>
              <w:rPr>
                <w:rFonts w:hint="eastAsia"/>
                <w:color w:val="auto"/>
                <w:sz w:val="24"/>
                <w:szCs w:val="24"/>
                <w:highlight w:val="none"/>
              </w:rPr>
              <w:t xml:space="preserve">2.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的，得 </w:t>
            </w:r>
            <w:r>
              <w:rPr>
                <w:rFonts w:hint="eastAsia"/>
                <w:color w:val="auto"/>
                <w:sz w:val="24"/>
                <w:szCs w:val="24"/>
                <w:highlight w:val="none"/>
                <w:lang w:val="en-US" w:eastAsia="zh-CN"/>
              </w:rPr>
              <w:t xml:space="preserve">2</w:t>
            </w:r>
            <w:r>
              <w:rPr>
                <w:rFonts w:hint="eastAsia"/>
                <w:color w:val="auto"/>
                <w:sz w:val="24"/>
                <w:szCs w:val="24"/>
                <w:highlight w:val="none"/>
              </w:rPr>
              <w:t xml:space="preserve">分。 </w:t>
            </w:r>
            <w:r/>
          </w:p>
          <w:p>
            <w:pPr>
              <w:ind w:firstLine="480"/>
              <w:jc w:val="left"/>
              <w:rPr>
                <w:color w:val="auto"/>
                <w:sz w:val="24"/>
                <w:szCs w:val="24"/>
                <w:highlight w:val="none"/>
              </w:rPr>
            </w:pPr>
            <w:r>
              <w:rPr>
                <w:rFonts w:hint="eastAsia"/>
                <w:color w:val="auto"/>
                <w:sz w:val="24"/>
                <w:szCs w:val="24"/>
                <w:highlight w:val="none"/>
              </w:rPr>
              <w:t xml:space="preserve">评审依据：提供相关证书</w:t>
            </w:r>
            <w:r>
              <w:rPr>
                <w:rFonts w:hint="eastAsia"/>
                <w:color w:val="auto"/>
                <w:sz w:val="24"/>
                <w:szCs w:val="24"/>
                <w:highlight w:val="none"/>
                <w:lang w:eastAsia="zh-CN"/>
              </w:rPr>
              <w:t xml:space="preserve">扫面件</w:t>
            </w:r>
            <w:r>
              <w:rPr>
                <w:rFonts w:hint="eastAsia"/>
                <w:color w:val="auto"/>
                <w:sz w:val="24"/>
                <w:szCs w:val="24"/>
                <w:highlight w:val="none"/>
              </w:rPr>
              <w:t xml:space="preserve">，否则不得分。</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客观分</w:t>
            </w:r>
            <w:r/>
          </w:p>
        </w:tc>
      </w:tr>
      <w:tr>
        <w:trPr>
          <w:jc w:val="center"/>
          <w:trHeight w:val="0"/>
        </w:trPr>
        <w:tc>
          <w:tcPr>
            <w:tcBorders>
              <w:left w:val="single" w:color="auto" w:sz="4" w:space="0"/>
              <w:bottom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业绩</w:t>
            </w:r>
            <w:r/>
          </w:p>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ind w:firstLine="480"/>
              <w:rPr>
                <w:color w:val="auto"/>
                <w:sz w:val="24"/>
                <w:szCs w:val="24"/>
                <w:highlight w:val="none"/>
              </w:rPr>
            </w:pPr>
            <w:r>
              <w:rPr>
                <w:rFonts w:hint="eastAsia"/>
                <w:color w:val="auto"/>
                <w:sz w:val="24"/>
                <w:szCs w:val="24"/>
                <w:highlight w:val="none"/>
              </w:rPr>
              <w:t xml:space="preserve">投标人提供2022年1月1日至今（以合同签订时间为准）的类似项目业绩，每提供一个得</w:t>
            </w:r>
            <w:r>
              <w:rPr>
                <w:rFonts w:hint="eastAsia"/>
                <w:color w:val="auto"/>
                <w:sz w:val="24"/>
                <w:szCs w:val="24"/>
                <w:highlight w:val="none"/>
                <w:lang w:val="en-US" w:eastAsia="zh-CN"/>
              </w:rPr>
              <w:t xml:space="preserve">2</w:t>
            </w:r>
            <w:r>
              <w:rPr>
                <w:rFonts w:hint="eastAsia"/>
                <w:color w:val="auto"/>
                <w:sz w:val="24"/>
                <w:szCs w:val="24"/>
                <w:highlight w:val="none"/>
              </w:rPr>
              <w:t xml:space="preserve">分，最高得</w:t>
            </w:r>
            <w:r>
              <w:rPr>
                <w:rFonts w:hint="eastAsia"/>
                <w:color w:val="auto"/>
                <w:sz w:val="24"/>
                <w:szCs w:val="24"/>
                <w:highlight w:val="none"/>
                <w:lang w:val="en-US" w:eastAsia="zh-CN"/>
              </w:rPr>
              <w:t xml:space="preserve">6</w:t>
            </w:r>
            <w:r>
              <w:rPr>
                <w:rFonts w:hint="eastAsia"/>
                <w:color w:val="auto"/>
                <w:sz w:val="24"/>
                <w:szCs w:val="24"/>
                <w:highlight w:val="none"/>
              </w:rPr>
              <w:t xml:space="preserve">分；未提供或不符合要求的不得分。</w:t>
            </w:r>
            <w:r/>
          </w:p>
          <w:p>
            <w:pPr>
              <w:rPr>
                <w:color w:val="auto"/>
                <w:sz w:val="24"/>
                <w:szCs w:val="24"/>
                <w:highlight w:val="none"/>
              </w:rPr>
            </w:pPr>
            <w:r>
              <w:rPr>
                <w:rFonts w:hint="eastAsia"/>
                <w:color w:val="auto"/>
                <w:sz w:val="24"/>
                <w:szCs w:val="24"/>
                <w:highlight w:val="none"/>
              </w:rPr>
              <w:t xml:space="preserve">注：</w:t>
            </w:r>
            <w:r>
              <w:rPr>
                <w:rFonts w:hint="eastAsia"/>
                <w:color w:val="auto"/>
                <w:sz w:val="24"/>
                <w:szCs w:val="24"/>
                <w:highlight w:val="none"/>
                <w:lang w:eastAsia="zh-CN"/>
              </w:rPr>
              <w:t xml:space="preserve">同时</w:t>
            </w:r>
            <w:r>
              <w:rPr>
                <w:rFonts w:hint="eastAsia"/>
                <w:color w:val="auto"/>
                <w:sz w:val="24"/>
                <w:szCs w:val="24"/>
                <w:highlight w:val="none"/>
              </w:rPr>
              <w:t xml:space="preserve">提供合同</w:t>
            </w:r>
            <w:r>
              <w:rPr>
                <w:rFonts w:hint="eastAsia"/>
                <w:color w:val="auto"/>
                <w:sz w:val="24"/>
                <w:szCs w:val="24"/>
                <w:highlight w:val="none"/>
                <w:lang w:eastAsia="zh-CN"/>
              </w:rPr>
              <w:t xml:space="preserve">、</w:t>
            </w:r>
            <w:r>
              <w:rPr>
                <w:rFonts w:hint="eastAsia"/>
                <w:color w:val="auto"/>
                <w:sz w:val="24"/>
                <w:szCs w:val="24"/>
                <w:highlight w:val="none"/>
              </w:rPr>
              <w:t xml:space="preserve">项目验收材料</w:t>
            </w:r>
            <w:r>
              <w:rPr>
                <w:rFonts w:hint="eastAsia"/>
                <w:color w:val="auto"/>
                <w:sz w:val="24"/>
                <w:szCs w:val="24"/>
                <w:highlight w:val="none"/>
                <w:lang w:eastAsia="zh-CN"/>
              </w:rPr>
              <w:t xml:space="preserve">及</w:t>
            </w:r>
            <w:r>
              <w:rPr>
                <w:rFonts w:hint="eastAsia"/>
                <w:color w:val="auto"/>
                <w:sz w:val="24"/>
                <w:szCs w:val="24"/>
                <w:highlight w:val="none"/>
                <w:lang w:val="en-US" w:eastAsia="zh-CN"/>
              </w:rPr>
              <w:t xml:space="preserve">不低于合同价30%的发票</w:t>
            </w:r>
            <w:r>
              <w:rPr>
                <w:rFonts w:hint="eastAsia"/>
                <w:color w:val="auto"/>
                <w:sz w:val="24"/>
                <w:szCs w:val="24"/>
                <w:highlight w:val="none"/>
                <w:lang w:eastAsia="zh-CN"/>
              </w:rPr>
              <w:t xml:space="preserve">扫描件</w:t>
            </w:r>
            <w:r>
              <w:rPr>
                <w:rFonts w:hint="eastAsia"/>
                <w:color w:val="auto"/>
                <w:sz w:val="24"/>
                <w:szCs w:val="24"/>
                <w:highlight w:val="none"/>
              </w:rPr>
              <w:t xml:space="preserve">，否则不得分。</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客观分</w:t>
            </w:r>
            <w:r/>
          </w:p>
        </w:tc>
      </w:tr>
      <w:tr>
        <w:trPr>
          <w:jc w:val="center"/>
          <w:trHeight w:val="0"/>
        </w:trPr>
        <w:tc>
          <w:tcPr>
            <w:shd w:val="clear" w:color="auto" w:fill="auto"/>
            <w:tcBorders>
              <w:left w:val="single" w:color="auto" w:sz="4" w:space="0"/>
              <w:bottom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4</w:t>
            </w:r>
            <w:r/>
          </w:p>
        </w:tc>
        <w:tc>
          <w:tcPr>
            <w:shd w:val="clear" w:color="auto" w:fill="auto"/>
            <w:tcBorders>
              <w:left w:val="single" w:color="auto" w:sz="4" w:space="0"/>
              <w:bottom w:val="single" w:color="auto" w:sz="4" w:space="0"/>
              <w:right w:val="single" w:color="auto" w:sz="4" w:space="0"/>
            </w:tcBorders>
            <w:tcW w:w="102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质保期承诺</w:t>
            </w:r>
            <w:r/>
          </w:p>
        </w:tc>
        <w:tc>
          <w:tcPr>
            <w:shd w:val="clear" w:color="auto" w:fill="auto"/>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rPr>
                <w:color w:val="auto"/>
                <w:sz w:val="24"/>
                <w:szCs w:val="24"/>
                <w:highlight w:val="none"/>
              </w:rPr>
            </w:pPr>
            <w:r>
              <w:rPr>
                <w:rFonts w:hint="eastAsia"/>
                <w:color w:val="auto"/>
                <w:sz w:val="24"/>
                <w:szCs w:val="24"/>
                <w:highlight w:val="none"/>
              </w:rPr>
              <w:t xml:space="preserve">投标人承诺免费质保期在3年的基础上每延长1年得</w:t>
            </w:r>
            <w:r>
              <w:rPr>
                <w:color w:val="auto"/>
                <w:sz w:val="24"/>
                <w:szCs w:val="24"/>
                <w:highlight w:val="none"/>
              </w:rPr>
              <w:t xml:space="preserve">1</w:t>
            </w:r>
            <w:r>
              <w:rPr>
                <w:rFonts w:hint="eastAsia"/>
                <w:color w:val="auto"/>
                <w:sz w:val="24"/>
                <w:szCs w:val="24"/>
                <w:highlight w:val="none"/>
              </w:rPr>
              <w:t xml:space="preserve">分，本项最高得2分，提供承诺书加盖投标人公章（格式自拟）。</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客观分</w:t>
            </w:r>
            <w:r/>
          </w:p>
        </w:tc>
      </w:tr>
      <w:tr>
        <w:trPr>
          <w:jc w:val="center"/>
          <w:trHeight w:val="0"/>
        </w:trPr>
        <w:tc>
          <w:tcPr>
            <w:shd w:val="clear" w:color="ffffff" w:themeColor="background1" w:fill="auto"/>
            <w:tcBorders>
              <w:left w:val="single" w:color="auto" w:sz="4" w:space="0"/>
              <w:bottom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c>
          <w:tcPr>
            <w:shd w:val="clear" w:color="ffffff" w:themeColor="background1" w:fill="auto"/>
            <w:tcBorders>
              <w:left w:val="single" w:color="auto" w:sz="4" w:space="0"/>
              <w:bottom w:val="single" w:color="auto" w:sz="4" w:space="0"/>
              <w:right w:val="single" w:color="auto" w:sz="4" w:space="0"/>
            </w:tcBorders>
            <w:tcW w:w="1026"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lang w:eastAsia="zh-CN"/>
              </w:rPr>
              <w:t xml:space="preserve">企业实力</w:t>
            </w:r>
            <w:r/>
          </w:p>
        </w:tc>
        <w:tc>
          <w:tcPr>
            <w:shd w:val="clear" w:color="ffffff" w:themeColor="background1" w:fill="auto"/>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1、投标人具有智能密集架相关软件著作权证书的，每提供一个得1分，最高得3分；</w:t>
            </w:r>
            <w:r/>
          </w:p>
          <w:p>
            <w:pPr>
              <w:pStyle w:val="743"/>
              <w:ind w:left="0" w:firstLine="480"/>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投标人具有智能密集架相关</w:t>
            </w:r>
            <w:r>
              <w:rPr>
                <w:rFonts w:hint="eastAsia" w:ascii="宋体" w:hAnsi="宋体" w:eastAsia="宋体" w:cs="宋体"/>
                <w:color w:val="auto"/>
                <w:sz w:val="24"/>
                <w:szCs w:val="24"/>
                <w:highlight w:val="none"/>
                <w:lang w:val="en-US" w:eastAsia="zh-CN"/>
              </w:rPr>
              <w:t xml:space="preserve">专利，每提供一个得1分，最高得3分</w:t>
            </w:r>
            <w:r/>
          </w:p>
          <w:p>
            <w:pPr>
              <w:pStyle w:val="743"/>
              <w:ind w:left="0" w:firstLine="480"/>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评审依据：提供相关证书扫面件，否则不得分。</w:t>
            </w:r>
            <w:r/>
          </w:p>
        </w:tc>
        <w:tc>
          <w:tcPr>
            <w:shd w:val="clear" w:color="ffffff" w:themeColor="background1"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lang w:val="en-US" w:eastAsia="zh-CN"/>
              </w:rPr>
              <w:t xml:space="preserve">6</w:t>
            </w:r>
            <w:r/>
          </w:p>
        </w:tc>
        <w:tc>
          <w:tcPr>
            <w:shd w:val="clear" w:color="ffffff" w:themeColor="background1"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0</w:t>
            </w:r>
            <w:r/>
          </w:p>
        </w:tc>
        <w:tc>
          <w:tcPr>
            <w:shd w:val="clear" w:color="ffffff" w:themeColor="background1" w:fill="auto"/>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rPr>
                <w:color w:val="auto"/>
                <w:sz w:val="24"/>
                <w:szCs w:val="24"/>
                <w:highlight w:val="none"/>
              </w:rPr>
            </w:pPr>
            <w:r>
              <w:rPr>
                <w:rFonts w:hint="eastAsia"/>
                <w:color w:val="auto"/>
                <w:sz w:val="24"/>
                <w:szCs w:val="24"/>
                <w:highlight w:val="none"/>
                <w:lang w:eastAsia="zh-CN"/>
              </w:rPr>
              <w:t xml:space="preserve">客</w:t>
            </w:r>
            <w:r>
              <w:rPr>
                <w:rFonts w:hint="eastAsia"/>
                <w:color w:val="auto"/>
                <w:sz w:val="24"/>
                <w:szCs w:val="24"/>
                <w:highlight w:val="none"/>
              </w:rPr>
              <w:t xml:space="preserve">观分</w:t>
            </w:r>
            <w:r/>
          </w:p>
        </w:tc>
      </w:tr>
      <w:tr>
        <w:trPr>
          <w:jc w:val="center"/>
          <w:trHeight w:val="0"/>
        </w:trPr>
        <w:tc>
          <w:tcPr>
            <w:shd w:val="clear" w:color="auto" w:fill="auto"/>
            <w:tcBorders>
              <w:left w:val="single" w:color="auto" w:sz="4" w:space="0"/>
              <w:bottom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6</w:t>
            </w:r>
            <w:r/>
          </w:p>
        </w:tc>
        <w:tc>
          <w:tcPr>
            <w:shd w:val="clear" w:color="auto" w:fill="auto"/>
            <w:tcBorders>
              <w:left w:val="single" w:color="auto" w:sz="4" w:space="0"/>
              <w:bottom w:val="single" w:color="auto" w:sz="4" w:space="0"/>
              <w:right w:val="single" w:color="auto" w:sz="4" w:space="0"/>
            </w:tcBorders>
            <w:tcW w:w="1026" w:type="dxa"/>
            <w:vAlign w:val="center"/>
            <w:textDirection w:val="lrTb"/>
            <w:noWrap w:val="false"/>
          </w:tcPr>
          <w:p>
            <w:pPr>
              <w:jc w:val="center"/>
              <w:rPr>
                <w:color w:val="auto"/>
                <w:sz w:val="24"/>
                <w:szCs w:val="24"/>
                <w:highlight w:val="none"/>
              </w:rPr>
            </w:pPr>
            <w:r>
              <w:rPr>
                <w:color w:val="auto"/>
                <w:sz w:val="24"/>
                <w:szCs w:val="24"/>
                <w:highlight w:val="none"/>
              </w:rPr>
            </w:r>
            <w:r/>
          </w:p>
          <w:p>
            <w:pPr>
              <w:jc w:val="center"/>
              <w:rPr>
                <w:color w:val="auto"/>
                <w:sz w:val="24"/>
                <w:szCs w:val="24"/>
                <w:highlight w:val="none"/>
              </w:rPr>
            </w:pPr>
            <w:r>
              <w:rPr>
                <w:color w:val="auto"/>
                <w:sz w:val="24"/>
                <w:szCs w:val="24"/>
                <w:highlight w:val="none"/>
              </w:rPr>
            </w:r>
            <w:r/>
          </w:p>
          <w:p>
            <w:pPr>
              <w:jc w:val="center"/>
              <w:rPr>
                <w:color w:val="auto"/>
                <w:sz w:val="24"/>
                <w:szCs w:val="24"/>
                <w:highlight w:val="none"/>
              </w:rPr>
            </w:pPr>
            <w:r>
              <w:rPr>
                <w:rFonts w:hint="eastAsia"/>
                <w:color w:val="auto"/>
                <w:sz w:val="24"/>
                <w:szCs w:val="24"/>
                <w:highlight w:val="none"/>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具体由评委根据各投标单位提供的符合项目实际</w:t>
            </w: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方案(包含①项目组织与职责分工；②项目实施进度计划</w:t>
            </w:r>
            <w:r>
              <w:rPr>
                <w:rFonts w:hint="eastAsia" w:ascii="宋体" w:hAnsi="宋体" w:eastAsia="宋体" w:cs="宋体"/>
                <w:color w:val="auto"/>
                <w:sz w:val="24"/>
                <w:szCs w:val="24"/>
                <w:highlight w:val="none"/>
                <w:lang w:eastAsia="zh-CN"/>
              </w:rPr>
              <w:t xml:space="preserve">及保证措施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③质量控制及保证措施这</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个方面)进行评审，</w:t>
            </w: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方案每个方面</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分，每个方面每有一处内容存在缺陷或不足的扣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分，扣完为止。本项最多得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主观分</w:t>
            </w:r>
            <w:r/>
          </w:p>
        </w:tc>
      </w:tr>
      <w:tr>
        <w:trPr>
          <w:jc w:val="center"/>
          <w:trHeight w:val="0"/>
        </w:trPr>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rPr>
              <w:t xml:space="preserve">售后服务</w:t>
            </w:r>
            <w:r>
              <w:rPr>
                <w:rFonts w:hint="eastAsia"/>
                <w:color w:val="auto"/>
                <w:sz w:val="24"/>
                <w:szCs w:val="24"/>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具体由评委根据各投标单位提供的符合项目实际</w:t>
            </w:r>
            <w:r>
              <w:rPr>
                <w:rFonts w:hint="eastAsia" w:ascii="宋体" w:hAnsi="宋体" w:eastAsia="宋体" w:cs="宋体"/>
                <w:color w:val="auto"/>
                <w:sz w:val="24"/>
                <w:szCs w:val="24"/>
                <w:highlight w:val="none"/>
                <w:lang w:eastAsia="zh-CN"/>
              </w:rPr>
              <w:t xml:space="preserve">售后服务</w:t>
            </w:r>
            <w:r>
              <w:rPr>
                <w:rFonts w:hint="eastAsia" w:ascii="宋体" w:hAnsi="宋体" w:eastAsia="宋体" w:cs="宋体"/>
                <w:color w:val="auto"/>
                <w:sz w:val="24"/>
                <w:szCs w:val="24"/>
                <w:highlight w:val="none"/>
              </w:rPr>
              <w:t xml:space="preserve">方案(包含①售后服务内容；②服务支持体系与响应机制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应急保障措施；</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维护期内外的后续技术支持和维护能力</w:t>
            </w:r>
            <w:r>
              <w:rPr>
                <w:rFonts w:hint="eastAsia" w:ascii="宋体" w:hAnsi="宋体" w:eastAsia="宋体" w:cs="宋体"/>
                <w:color w:val="auto"/>
                <w:sz w:val="24"/>
                <w:szCs w:val="24"/>
                <w:highlight w:val="none"/>
                <w:lang w:eastAsia="zh-CN"/>
              </w:rPr>
              <w:t xml:space="preserve">这</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个方面)进行评审，</w:t>
            </w:r>
            <w:r>
              <w:rPr>
                <w:rFonts w:hint="eastAsia" w:ascii="宋体" w:hAnsi="宋体" w:eastAsia="宋体" w:cs="宋体"/>
                <w:color w:val="auto"/>
                <w:sz w:val="24"/>
                <w:szCs w:val="24"/>
                <w:highlight w:val="none"/>
                <w:lang w:eastAsia="zh-CN"/>
              </w:rPr>
              <w:t xml:space="preserve">售后服务</w:t>
            </w:r>
            <w:r>
              <w:rPr>
                <w:rFonts w:hint="eastAsia" w:ascii="宋体" w:hAnsi="宋体" w:eastAsia="宋体" w:cs="宋体"/>
                <w:color w:val="auto"/>
                <w:sz w:val="24"/>
                <w:szCs w:val="24"/>
                <w:highlight w:val="none"/>
              </w:rPr>
              <w:t xml:space="preserve">方案每个方面</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分，每个方面每有一处内容存在缺陷或不足的扣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分，扣完为止。本项最多得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color w:val="auto"/>
                <w:sz w:val="24"/>
                <w:szCs w:val="24"/>
                <w:highlight w:val="none"/>
              </w:rPr>
            </w:pPr>
            <w:r>
              <w:rPr>
                <w:rFonts w:hint="eastAsia" w:ascii="宋体" w:hAnsi="宋体" w:eastAsia="宋体" w:cs="宋体"/>
                <w:color w:val="auto"/>
                <w:sz w:val="24"/>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0</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主观分</w:t>
            </w:r>
            <w:r/>
          </w:p>
        </w:tc>
      </w:tr>
      <w:tr>
        <w:trPr>
          <w:jc w:val="center"/>
          <w:trHeight w:val="0"/>
        </w:trPr>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样品</w:t>
            </w:r>
            <w:r/>
          </w:p>
        </w:tc>
        <w:tc>
          <w:tcPr>
            <w:tcBorders>
              <w:top w:val="single" w:color="auto" w:sz="4" w:space="0"/>
              <w:left w:val="single" w:color="auto" w:sz="4" w:space="0"/>
              <w:bottom w:val="single" w:color="auto" w:sz="4" w:space="0"/>
              <w:right w:val="single" w:color="auto" w:sz="4" w:space="0"/>
            </w:tcBorders>
            <w:tcW w:w="4682" w:type="dxa"/>
            <w:vAlign w:val="center"/>
            <w:textDirection w:val="lrTb"/>
            <w:noWrap w:val="false"/>
          </w:tcPr>
          <w:p>
            <w:pPr>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 xml:space="preserve">投标人</w:t>
            </w:r>
            <w:r>
              <w:rPr>
                <w:rFonts w:hint="eastAsia" w:ascii="Times New Roman" w:hAnsi="Times New Roman" w:eastAsia="宋体" w:cs="Times New Roman"/>
                <w:color w:val="auto"/>
                <w:sz w:val="24"/>
                <w:szCs w:val="24"/>
                <w:highlight w:val="none"/>
              </w:rPr>
              <w:t xml:space="preserve">递交</w:t>
            </w:r>
            <w:r>
              <w:rPr>
                <w:rFonts w:hint="eastAsia" w:ascii="Times New Roman" w:hAnsi="Times New Roman" w:eastAsia="宋体" w:cs="Times New Roman"/>
                <w:color w:val="auto"/>
                <w:sz w:val="24"/>
                <w:szCs w:val="24"/>
                <w:highlight w:val="none"/>
                <w:lang w:val="en-US" w:eastAsia="zh-CN"/>
              </w:rPr>
              <w:t xml:space="preserve">①双压筋搁板（长500*宽230mm）、②双压筋立柱(长500mm)、③双压筋挂板(长500mm)、</w:t>
            </w:r>
            <w:bookmarkStart w:id="89" w:name="_GoBack"/>
            <w:r/>
            <w:bookmarkEnd w:id="89"/>
            <w:r>
              <w:rPr>
                <w:rFonts w:hint="eastAsia" w:ascii="Times New Roman" w:hAnsi="Times New Roman" w:eastAsia="宋体" w:cs="Times New Roman"/>
                <w:color w:val="auto"/>
                <w:sz w:val="24"/>
                <w:szCs w:val="24"/>
                <w:highlight w:val="none"/>
                <w:lang w:val="en-US" w:eastAsia="zh-CN"/>
              </w:rPr>
              <w:t xml:space="preserve">④双压筋搁棒(长500mm)、⑤侧板(长290*宽250mm)、⑥底盘(长700*宽450mm)</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每个</w:t>
            </w:r>
            <w:r>
              <w:rPr>
                <w:rFonts w:hint="eastAsia" w:ascii="Times New Roman" w:hAnsi="Times New Roman" w:eastAsia="宋体" w:cs="Times New Roman"/>
                <w:color w:val="auto"/>
                <w:sz w:val="24"/>
                <w:szCs w:val="24"/>
                <w:highlight w:val="none"/>
                <w:lang w:eastAsia="zh-CN"/>
              </w:rPr>
              <w:t xml:space="preserve">样品满分</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w:t>
            </w:r>
            <w:r>
              <w:rPr>
                <w:rFonts w:hint="eastAsia" w:ascii="Times New Roman" w:hAnsi="Times New Roman" w:eastAsia="宋体" w:cs="Times New Roman"/>
                <w:color w:val="auto"/>
                <w:sz w:val="24"/>
                <w:szCs w:val="24"/>
                <w:highlight w:val="none"/>
                <w:lang w:eastAsia="zh-CN"/>
              </w:rPr>
              <w:t xml:space="preserve">本</w:t>
            </w:r>
            <w:r>
              <w:rPr>
                <w:rFonts w:hint="eastAsia" w:cs="Times New Roman"/>
                <w:color w:val="auto"/>
                <w:sz w:val="24"/>
                <w:szCs w:val="24"/>
                <w:highlight w:val="none"/>
                <w:lang w:eastAsia="zh-CN"/>
              </w:rPr>
              <w:t xml:space="preserve">项</w:t>
            </w:r>
            <w:r>
              <w:rPr>
                <w:rFonts w:hint="eastAsia" w:ascii="Times New Roman" w:hAnsi="Times New Roman" w:eastAsia="宋体" w:cs="Times New Roman"/>
                <w:color w:val="auto"/>
                <w:sz w:val="24"/>
                <w:szCs w:val="24"/>
                <w:highlight w:val="none"/>
                <w:lang w:eastAsia="zh-CN"/>
              </w:rPr>
              <w:t xml:space="preserve">最多得</w:t>
            </w:r>
            <w:r>
              <w:rPr>
                <w:rFonts w:hint="eastAsia" w:ascii="Times New Roman" w:hAnsi="Times New Roman" w:eastAsia="宋体" w:cs="Times New Roman"/>
                <w:color w:val="auto"/>
                <w:sz w:val="24"/>
                <w:szCs w:val="24"/>
                <w:highlight w:val="none"/>
                <w:lang w:val="en-US" w:eastAsia="zh-CN"/>
              </w:rPr>
              <w:t xml:space="preserve">12分。</w:t>
            </w:r>
            <w:r/>
          </w:p>
          <w:p>
            <w:pPr>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每个样品评审标准：</w:t>
            </w:r>
            <w:r/>
          </w:p>
          <w:p>
            <w:pPr>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①质感好；细节处理科学合理；正视面平整光滑、清晰，无明显沉陷；表面手感光滑，无明显粒子、涨边和不平整；无锈斑、裂缝、叠缝，外露端口表面封闭，表面工艺</w:t>
            </w:r>
            <w:r>
              <w:rPr>
                <w:rFonts w:hint="eastAsia" w:ascii="Times New Roman" w:hAnsi="Times New Roman" w:eastAsia="宋体" w:cs="Times New Roman"/>
                <w:color w:val="auto"/>
                <w:sz w:val="24"/>
                <w:szCs w:val="24"/>
                <w:highlight w:val="none"/>
                <w:lang w:eastAsia="zh-CN"/>
              </w:rPr>
              <w:t xml:space="preserve">优良</w:t>
            </w:r>
            <w:r>
              <w:rPr>
                <w:rFonts w:hint="eastAsia" w:ascii="Times New Roman" w:hAnsi="Times New Roman" w:eastAsia="宋体" w:cs="Times New Roman"/>
                <w:color w:val="auto"/>
                <w:sz w:val="24"/>
                <w:szCs w:val="24"/>
                <w:highlight w:val="none"/>
              </w:rPr>
              <w:t xml:space="preserve">（涂层应无漏喷、锈蚀和脱色、掉色现象；涂层应光滑均匀，色泽一致，应无流挂、 疙瘩、皱皮、飞漆等缺陷。整体性能优、可靠，产品成熟，材料材质、工艺好，符合技术要求、做工精细得</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w:t>
            </w:r>
            <w:r/>
          </w:p>
          <w:p>
            <w:pPr>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②质感</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好；细节处理</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科学合理；正视面</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平整光滑、清晰，无明显沉陷；表面手感</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光滑，无明显粒子、涨边和不平整；无锈斑、裂缝、叠缝，表面工艺</w:t>
            </w:r>
            <w:r>
              <w:rPr>
                <w:rFonts w:hint="eastAsia" w:ascii="Times New Roman" w:hAnsi="Times New Roman" w:eastAsia="宋体" w:cs="Times New Roman"/>
                <w:color w:val="auto"/>
                <w:sz w:val="24"/>
                <w:szCs w:val="24"/>
                <w:highlight w:val="none"/>
                <w:lang w:eastAsia="zh-CN"/>
              </w:rPr>
              <w:t xml:space="preserve">较好</w:t>
            </w:r>
            <w:r>
              <w:rPr>
                <w:rFonts w:hint="eastAsia" w:ascii="Times New Roman" w:hAnsi="Times New Roman" w:eastAsia="宋体" w:cs="Times New Roman"/>
                <w:color w:val="auto"/>
                <w:sz w:val="24"/>
                <w:szCs w:val="24"/>
                <w:highlight w:val="none"/>
              </w:rPr>
              <w:t xml:space="preserve">（涂层应无</w:t>
            </w:r>
            <w:r>
              <w:rPr>
                <w:rFonts w:hint="eastAsia" w:ascii="Times New Roman" w:hAnsi="Times New Roman" w:eastAsia="宋体" w:cs="Times New Roman"/>
                <w:color w:val="auto"/>
                <w:sz w:val="24"/>
                <w:szCs w:val="24"/>
                <w:highlight w:val="none"/>
                <w:lang w:eastAsia="zh-CN"/>
              </w:rPr>
              <w:t xml:space="preserve">明显</w:t>
            </w:r>
            <w:r>
              <w:rPr>
                <w:rFonts w:hint="eastAsia" w:ascii="Times New Roman" w:hAnsi="Times New Roman" w:eastAsia="宋体" w:cs="Times New Roman"/>
                <w:color w:val="auto"/>
                <w:sz w:val="24"/>
                <w:szCs w:val="24"/>
                <w:highlight w:val="none"/>
              </w:rPr>
              <w:t xml:space="preserve">漏喷、锈蚀和脱色、掉色现象；涂层</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光滑均匀，色泽</w:t>
            </w:r>
            <w:r>
              <w:rPr>
                <w:rFonts w:hint="eastAsia" w:ascii="Times New Roman" w:hAnsi="Times New Roman" w:eastAsia="宋体" w:cs="Times New Roman"/>
                <w:color w:val="auto"/>
                <w:sz w:val="24"/>
                <w:szCs w:val="24"/>
                <w:highlight w:val="none"/>
                <w:lang w:eastAsia="zh-CN"/>
              </w:rPr>
              <w:t xml:space="preserve">基本</w:t>
            </w:r>
            <w:r>
              <w:rPr>
                <w:rFonts w:hint="eastAsia" w:ascii="Times New Roman" w:hAnsi="Times New Roman" w:eastAsia="宋体" w:cs="Times New Roman"/>
                <w:color w:val="auto"/>
                <w:sz w:val="24"/>
                <w:szCs w:val="24"/>
                <w:highlight w:val="none"/>
              </w:rPr>
              <w:t xml:space="preserve">一致，无</w:t>
            </w:r>
            <w:r>
              <w:rPr>
                <w:rFonts w:hint="eastAsia" w:ascii="Times New Roman" w:hAnsi="Times New Roman" w:eastAsia="宋体" w:cs="Times New Roman"/>
                <w:color w:val="auto"/>
                <w:sz w:val="24"/>
                <w:szCs w:val="24"/>
                <w:highlight w:val="none"/>
                <w:lang w:eastAsia="zh-CN"/>
              </w:rPr>
              <w:t xml:space="preserve">明显</w:t>
            </w:r>
            <w:r>
              <w:rPr>
                <w:rFonts w:hint="eastAsia" w:ascii="Times New Roman" w:hAnsi="Times New Roman" w:eastAsia="宋体" w:cs="Times New Roman"/>
                <w:color w:val="auto"/>
                <w:sz w:val="24"/>
                <w:szCs w:val="24"/>
                <w:highlight w:val="none"/>
              </w:rPr>
              <w:t xml:space="preserve">流挂、 疙瘩、皱皮、飞漆等缺陷。整体性能</w:t>
            </w:r>
            <w:r>
              <w:rPr>
                <w:rFonts w:hint="eastAsia" w:ascii="Times New Roman" w:hAnsi="Times New Roman" w:eastAsia="宋体" w:cs="Times New Roman"/>
                <w:color w:val="auto"/>
                <w:sz w:val="24"/>
                <w:szCs w:val="24"/>
                <w:highlight w:val="none"/>
                <w:lang w:eastAsia="zh-CN"/>
              </w:rPr>
              <w:t xml:space="preserve">较好</w:t>
            </w:r>
            <w:r>
              <w:rPr>
                <w:rFonts w:hint="eastAsia" w:ascii="Times New Roman" w:hAnsi="Times New Roman" w:eastAsia="宋体" w:cs="Times New Roman"/>
                <w:color w:val="auto"/>
                <w:sz w:val="24"/>
                <w:szCs w:val="24"/>
                <w:highlight w:val="none"/>
              </w:rPr>
              <w:t xml:space="preserve">、产品</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成熟，材料材质、工艺</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好，</w:t>
            </w:r>
            <w:r>
              <w:rPr>
                <w:rFonts w:hint="eastAsia" w:ascii="Times New Roman" w:hAnsi="Times New Roman" w:eastAsia="宋体" w:cs="Times New Roman"/>
                <w:color w:val="auto"/>
                <w:sz w:val="24"/>
                <w:szCs w:val="24"/>
                <w:highlight w:val="none"/>
                <w:lang w:eastAsia="zh-CN"/>
              </w:rPr>
              <w:t xml:space="preserve">基本</w:t>
            </w:r>
            <w:r>
              <w:rPr>
                <w:rFonts w:hint="eastAsia" w:ascii="Times New Roman" w:hAnsi="Times New Roman" w:eastAsia="宋体" w:cs="Times New Roman"/>
                <w:color w:val="auto"/>
                <w:sz w:val="24"/>
                <w:szCs w:val="24"/>
                <w:highlight w:val="none"/>
              </w:rPr>
              <w:t xml:space="preserve">符合技术要求、做工</w:t>
            </w:r>
            <w:r>
              <w:rPr>
                <w:rFonts w:hint="eastAsia" w:ascii="Times New Roman" w:hAnsi="Times New Roman" w:eastAsia="宋体" w:cs="Times New Roman"/>
                <w:color w:val="auto"/>
                <w:sz w:val="24"/>
                <w:szCs w:val="24"/>
                <w:highlight w:val="none"/>
                <w:lang w:eastAsia="zh-CN"/>
              </w:rPr>
              <w:t xml:space="preserve">较</w:t>
            </w:r>
            <w:r>
              <w:rPr>
                <w:rFonts w:hint="eastAsia" w:ascii="Times New Roman" w:hAnsi="Times New Roman" w:eastAsia="宋体" w:cs="Times New Roman"/>
                <w:color w:val="auto"/>
                <w:sz w:val="24"/>
                <w:szCs w:val="24"/>
                <w:highlight w:val="none"/>
              </w:rPr>
              <w:t xml:space="preserve">精细得</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分；</w:t>
            </w:r>
            <w:r/>
          </w:p>
          <w:p>
            <w:pPr>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③质感</w:t>
            </w:r>
            <w:r>
              <w:rPr>
                <w:rFonts w:hint="eastAsia" w:ascii="Times New Roman" w:hAnsi="Times New Roman" w:eastAsia="宋体" w:cs="Times New Roman"/>
                <w:color w:val="auto"/>
                <w:sz w:val="24"/>
                <w:szCs w:val="24"/>
                <w:highlight w:val="none"/>
                <w:lang w:eastAsia="zh-CN"/>
              </w:rPr>
              <w:t xml:space="preserve">一般</w:t>
            </w:r>
            <w:r>
              <w:rPr>
                <w:rFonts w:hint="eastAsia" w:ascii="Times New Roman" w:hAnsi="Times New Roman" w:eastAsia="宋体" w:cs="Times New Roman"/>
                <w:color w:val="auto"/>
                <w:sz w:val="24"/>
                <w:szCs w:val="24"/>
                <w:highlight w:val="none"/>
              </w:rPr>
              <w:t xml:space="preserve">；细节处理</w:t>
            </w:r>
            <w:r>
              <w:rPr>
                <w:rFonts w:hint="eastAsia" w:ascii="Times New Roman" w:hAnsi="Times New Roman" w:eastAsia="宋体" w:cs="Times New Roman"/>
                <w:color w:val="auto"/>
                <w:sz w:val="24"/>
                <w:szCs w:val="24"/>
                <w:highlight w:val="none"/>
                <w:lang w:eastAsia="zh-CN"/>
              </w:rPr>
              <w:t xml:space="preserve">不到位</w:t>
            </w:r>
            <w:r>
              <w:rPr>
                <w:rFonts w:hint="eastAsia" w:ascii="Times New Roman" w:hAnsi="Times New Roman" w:eastAsia="宋体" w:cs="Times New Roman"/>
                <w:color w:val="auto"/>
                <w:sz w:val="24"/>
                <w:szCs w:val="24"/>
                <w:highlight w:val="none"/>
              </w:rPr>
              <w:t xml:space="preserve">；正视面</w:t>
            </w:r>
            <w:r>
              <w:rPr>
                <w:rFonts w:hint="eastAsia" w:ascii="Times New Roman" w:hAnsi="Times New Roman" w:eastAsia="宋体" w:cs="Times New Roman"/>
                <w:color w:val="auto"/>
                <w:sz w:val="24"/>
                <w:szCs w:val="24"/>
                <w:highlight w:val="none"/>
                <w:lang w:eastAsia="zh-CN"/>
              </w:rPr>
              <w:t xml:space="preserve">不</w:t>
            </w:r>
            <w:r>
              <w:rPr>
                <w:rFonts w:hint="eastAsia" w:ascii="Times New Roman" w:hAnsi="Times New Roman" w:eastAsia="宋体" w:cs="Times New Roman"/>
                <w:color w:val="auto"/>
                <w:sz w:val="24"/>
                <w:szCs w:val="24"/>
                <w:highlight w:val="none"/>
              </w:rPr>
              <w:t xml:space="preserve">平整光滑、清晰，</w:t>
            </w:r>
            <w:r>
              <w:rPr>
                <w:rFonts w:hint="eastAsia" w:ascii="Times New Roman" w:hAnsi="Times New Roman" w:eastAsia="宋体" w:cs="Times New Roman"/>
                <w:color w:val="auto"/>
                <w:sz w:val="24"/>
                <w:szCs w:val="24"/>
                <w:highlight w:val="none"/>
                <w:lang w:eastAsia="zh-CN"/>
              </w:rPr>
              <w:t xml:space="preserve">有</w:t>
            </w:r>
            <w:r>
              <w:rPr>
                <w:rFonts w:hint="eastAsia" w:ascii="Times New Roman" w:hAnsi="Times New Roman" w:eastAsia="宋体" w:cs="Times New Roman"/>
                <w:color w:val="auto"/>
                <w:sz w:val="24"/>
                <w:szCs w:val="24"/>
                <w:highlight w:val="none"/>
              </w:rPr>
              <w:t xml:space="preserve">沉陷；表面手感</w:t>
            </w:r>
            <w:r>
              <w:rPr>
                <w:rFonts w:hint="eastAsia" w:ascii="Times New Roman" w:hAnsi="Times New Roman" w:eastAsia="宋体" w:cs="Times New Roman"/>
                <w:color w:val="auto"/>
                <w:sz w:val="24"/>
                <w:szCs w:val="24"/>
                <w:highlight w:val="none"/>
                <w:lang w:eastAsia="zh-CN"/>
              </w:rPr>
              <w:t xml:space="preserve">不</w:t>
            </w:r>
            <w:r>
              <w:rPr>
                <w:rFonts w:hint="eastAsia" w:ascii="Times New Roman" w:hAnsi="Times New Roman" w:eastAsia="宋体" w:cs="Times New Roman"/>
                <w:color w:val="auto"/>
                <w:sz w:val="24"/>
                <w:szCs w:val="24"/>
                <w:highlight w:val="none"/>
              </w:rPr>
              <w:t xml:space="preserve">光滑，</w:t>
            </w:r>
            <w:r>
              <w:rPr>
                <w:rFonts w:hint="eastAsia" w:ascii="Times New Roman" w:hAnsi="Times New Roman" w:eastAsia="宋体" w:cs="Times New Roman"/>
                <w:color w:val="auto"/>
                <w:sz w:val="24"/>
                <w:szCs w:val="24"/>
                <w:highlight w:val="none"/>
                <w:lang w:eastAsia="zh-CN"/>
              </w:rPr>
              <w:t xml:space="preserve">有</w:t>
            </w:r>
            <w:r>
              <w:rPr>
                <w:rFonts w:hint="eastAsia" w:ascii="Times New Roman" w:hAnsi="Times New Roman" w:eastAsia="宋体" w:cs="Times New Roman"/>
                <w:color w:val="auto"/>
                <w:sz w:val="24"/>
                <w:szCs w:val="24"/>
                <w:highlight w:val="none"/>
              </w:rPr>
              <w:t xml:space="preserve">粒子、涨边和不平整；</w:t>
            </w:r>
            <w:r>
              <w:rPr>
                <w:rFonts w:hint="eastAsia" w:ascii="Times New Roman" w:hAnsi="Times New Roman" w:eastAsia="宋体" w:cs="Times New Roman"/>
                <w:color w:val="auto"/>
                <w:sz w:val="24"/>
                <w:szCs w:val="24"/>
                <w:highlight w:val="none"/>
                <w:lang w:eastAsia="zh-CN"/>
              </w:rPr>
              <w:t xml:space="preserve">有</w:t>
            </w:r>
            <w:r>
              <w:rPr>
                <w:rFonts w:hint="eastAsia" w:ascii="Times New Roman" w:hAnsi="Times New Roman" w:eastAsia="宋体" w:cs="Times New Roman"/>
                <w:color w:val="auto"/>
                <w:sz w:val="24"/>
                <w:szCs w:val="24"/>
                <w:highlight w:val="none"/>
              </w:rPr>
              <w:t xml:space="preserve">锈斑、裂缝、叠缝，表面</w:t>
            </w:r>
            <w:r>
              <w:rPr>
                <w:rFonts w:hint="eastAsia" w:ascii="Times New Roman" w:hAnsi="Times New Roman" w:eastAsia="宋体" w:cs="Times New Roman"/>
                <w:color w:val="auto"/>
                <w:sz w:val="24"/>
                <w:szCs w:val="24"/>
                <w:highlight w:val="none"/>
                <w:lang w:eastAsia="zh-CN"/>
              </w:rPr>
              <w:t xml:space="preserve">工艺一般</w:t>
            </w:r>
            <w:r>
              <w:rPr>
                <w:rFonts w:hint="eastAsia" w:ascii="Times New Roman" w:hAnsi="Times New Roman" w:eastAsia="宋体" w:cs="Times New Roman"/>
                <w:color w:val="auto"/>
                <w:sz w:val="24"/>
                <w:szCs w:val="24"/>
                <w:highlight w:val="none"/>
              </w:rPr>
              <w:t xml:space="preserve">（涂层</w:t>
            </w:r>
            <w:r>
              <w:rPr>
                <w:rFonts w:hint="eastAsia" w:ascii="Times New Roman" w:hAnsi="Times New Roman" w:eastAsia="宋体" w:cs="Times New Roman"/>
                <w:color w:val="auto"/>
                <w:sz w:val="24"/>
                <w:szCs w:val="24"/>
                <w:highlight w:val="none"/>
                <w:lang w:eastAsia="zh-CN"/>
              </w:rPr>
              <w:t xml:space="preserve">有</w:t>
            </w:r>
            <w:r>
              <w:rPr>
                <w:rFonts w:hint="eastAsia" w:ascii="Times New Roman" w:hAnsi="Times New Roman" w:eastAsia="宋体" w:cs="Times New Roman"/>
                <w:color w:val="auto"/>
                <w:sz w:val="24"/>
                <w:szCs w:val="24"/>
                <w:highlight w:val="none"/>
              </w:rPr>
              <w:t xml:space="preserve">漏喷、锈蚀和脱色、掉色现象；涂层</w:t>
            </w:r>
            <w:r>
              <w:rPr>
                <w:rFonts w:hint="eastAsia" w:ascii="Times New Roman" w:hAnsi="Times New Roman" w:eastAsia="宋体" w:cs="Times New Roman"/>
                <w:color w:val="auto"/>
                <w:sz w:val="24"/>
                <w:szCs w:val="24"/>
                <w:highlight w:val="none"/>
                <w:lang w:eastAsia="zh-CN"/>
              </w:rPr>
              <w:t xml:space="preserve">不</w:t>
            </w:r>
            <w:r>
              <w:rPr>
                <w:rFonts w:hint="eastAsia" w:ascii="Times New Roman" w:hAnsi="Times New Roman" w:eastAsia="宋体" w:cs="Times New Roman"/>
                <w:color w:val="auto"/>
                <w:sz w:val="24"/>
                <w:szCs w:val="24"/>
                <w:highlight w:val="none"/>
              </w:rPr>
              <w:t xml:space="preserve">光滑均匀，色泽</w:t>
            </w:r>
            <w:r>
              <w:rPr>
                <w:rFonts w:hint="eastAsia" w:ascii="Times New Roman" w:hAnsi="Times New Roman" w:eastAsia="宋体" w:cs="Times New Roman"/>
                <w:color w:val="auto"/>
                <w:sz w:val="24"/>
                <w:szCs w:val="24"/>
                <w:highlight w:val="none"/>
                <w:lang w:eastAsia="zh-CN"/>
              </w:rPr>
              <w:t xml:space="preserve">有差异</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有</w:t>
            </w:r>
            <w:r>
              <w:rPr>
                <w:rFonts w:hint="eastAsia" w:ascii="Times New Roman" w:hAnsi="Times New Roman" w:eastAsia="宋体" w:cs="Times New Roman"/>
                <w:color w:val="auto"/>
                <w:sz w:val="24"/>
                <w:szCs w:val="24"/>
                <w:highlight w:val="none"/>
              </w:rPr>
              <w:t xml:space="preserve">流挂、 疙瘩、皱皮、飞漆等缺陷。整体性能</w:t>
            </w:r>
            <w:r>
              <w:rPr>
                <w:rFonts w:hint="eastAsia" w:ascii="Times New Roman" w:hAnsi="Times New Roman" w:eastAsia="宋体" w:cs="Times New Roman"/>
                <w:color w:val="auto"/>
                <w:sz w:val="24"/>
                <w:szCs w:val="24"/>
                <w:highlight w:val="none"/>
                <w:lang w:eastAsia="zh-CN"/>
              </w:rPr>
              <w:t xml:space="preserve">一般</w:t>
            </w:r>
            <w:r>
              <w:rPr>
                <w:rFonts w:hint="eastAsia" w:ascii="Times New Roman" w:hAnsi="Times New Roman" w:eastAsia="宋体" w:cs="Times New Roman"/>
                <w:color w:val="auto"/>
                <w:sz w:val="24"/>
                <w:szCs w:val="24"/>
                <w:highlight w:val="none"/>
              </w:rPr>
              <w:t xml:space="preserve">，材料材质、工艺</w:t>
            </w:r>
            <w:r>
              <w:rPr>
                <w:rFonts w:hint="eastAsia" w:ascii="Times New Roman" w:hAnsi="Times New Roman" w:eastAsia="宋体" w:cs="Times New Roman"/>
                <w:color w:val="auto"/>
                <w:sz w:val="24"/>
                <w:szCs w:val="24"/>
                <w:highlight w:val="none"/>
                <w:lang w:eastAsia="zh-CN"/>
              </w:rPr>
              <w:t xml:space="preserve">一般</w:t>
            </w:r>
            <w:r>
              <w:rPr>
                <w:rFonts w:hint="eastAsia" w:ascii="Times New Roman" w:hAnsi="Times New Roman" w:eastAsia="宋体" w:cs="Times New Roman"/>
                <w:color w:val="auto"/>
                <w:sz w:val="24"/>
                <w:szCs w:val="24"/>
                <w:highlight w:val="none"/>
              </w:rPr>
              <w:t xml:space="preserve">，做工</w:t>
            </w:r>
            <w:r>
              <w:rPr>
                <w:rFonts w:hint="eastAsia" w:ascii="Times New Roman" w:hAnsi="Times New Roman" w:eastAsia="宋体" w:cs="Times New Roman"/>
                <w:color w:val="auto"/>
                <w:sz w:val="24"/>
                <w:szCs w:val="24"/>
                <w:highlight w:val="none"/>
                <w:lang w:eastAsia="zh-CN"/>
              </w:rPr>
              <w:t xml:space="preserve">一般</w:t>
            </w:r>
            <w:r>
              <w:rPr>
                <w:rFonts w:hint="eastAsia" w:ascii="Times New Roman" w:hAnsi="Times New Roman" w:eastAsia="宋体" w:cs="Times New Roman"/>
                <w:color w:val="auto"/>
                <w:sz w:val="24"/>
                <w:szCs w:val="24"/>
                <w:highlight w:val="none"/>
              </w:rPr>
              <w:t xml:space="preserve">得</w:t>
            </w:r>
            <w:r>
              <w:rPr>
                <w:rFonts w:hint="eastAsia" w:ascii="Times New Roman" w:hAnsi="Times New Roman" w:eastAsia="宋体" w:cs="Times New Roman"/>
                <w:color w:val="auto"/>
                <w:sz w:val="24"/>
                <w:szCs w:val="24"/>
                <w:highlight w:val="none"/>
                <w:lang w:val="en-US" w:eastAsia="zh-CN"/>
              </w:rPr>
              <w:t xml:space="preserve">0.5</w:t>
            </w:r>
            <w:r>
              <w:rPr>
                <w:rFonts w:hint="eastAsia" w:ascii="Times New Roman" w:hAnsi="Times New Roman" w:eastAsia="宋体" w:cs="Times New Roman"/>
                <w:color w:val="auto"/>
                <w:sz w:val="24"/>
                <w:szCs w:val="24"/>
                <w:highlight w:val="none"/>
              </w:rPr>
              <w:t xml:space="preserve">分。</w:t>
            </w:r>
            <w:r/>
          </w:p>
          <w:p>
            <w:pPr>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注：投标</w:t>
            </w:r>
            <w:r>
              <w:rPr>
                <w:rFonts w:hint="eastAsia" w:ascii="Times New Roman" w:hAnsi="Times New Roman" w:eastAsia="宋体" w:cs="Times New Roman"/>
                <w:color w:val="auto"/>
                <w:sz w:val="24"/>
                <w:szCs w:val="24"/>
                <w:highlight w:val="none"/>
                <w:lang w:eastAsia="zh-CN"/>
              </w:rPr>
              <w:t xml:space="preserve">人按要求</w:t>
            </w:r>
            <w:r>
              <w:rPr>
                <w:rFonts w:hint="eastAsia" w:ascii="Times New Roman" w:hAnsi="Times New Roman" w:eastAsia="宋体" w:cs="Times New Roman"/>
                <w:color w:val="auto"/>
                <w:sz w:val="24"/>
                <w:szCs w:val="24"/>
                <w:highlight w:val="none"/>
              </w:rPr>
              <w:t xml:space="preserve">提供样品（样品尺寸可偏差±5%），未提供样品或样品提供不全的视作未实质性响应招标文件要求，按无效投标处理；样品出现任何投标人的标识视为无效投标。</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0</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主观分</w:t>
            </w:r>
            <w:r/>
          </w:p>
        </w:tc>
      </w:tr>
    </w:tbl>
    <w:p>
      <w:pPr>
        <w:ind w:firstLine="562"/>
        <w:jc w:val="left"/>
        <w:spacing w:line="360" w:lineRule="auto"/>
        <w:rPr>
          <w:rFonts w:hint="eastAsia" w:ascii="宋体" w:hAnsi="宋体" w:eastAsia="宋体" w:cs="宋体"/>
          <w:b/>
          <w:color w:val="auto"/>
          <w:sz w:val="24"/>
          <w:szCs w:val="24"/>
          <w:highlight w:val="none"/>
          <w:lang w:eastAsia="zh-CN"/>
        </w:rPr>
        <w:outlineLvl w:val="2"/>
      </w:pPr>
      <w:r>
        <w:rPr>
          <w:rFonts w:hint="eastAsia" w:ascii="宋体" w:hAnsi="宋体" w:cs="宋体"/>
          <w:b/>
          <w:color w:val="auto"/>
          <w:sz w:val="24"/>
          <w:szCs w:val="24"/>
          <w:highlight w:val="none"/>
          <w:lang w:eastAsia="zh-CN"/>
        </w:rPr>
        <w:t xml:space="preserve">注：投标人上传系统的相关证明材料均应为原件的扫描件且清晰可见，否则，投标人自行承担因扫描件模糊等问题导致评委无法辨识的一切后果。</w:t>
      </w:r>
      <w:r/>
    </w:p>
    <w:p>
      <w:pPr>
        <w:ind w:firstLine="562"/>
        <w:jc w:val="left"/>
        <w:spacing w:line="360" w:lineRule="auto"/>
        <w:rPr>
          <w:rFonts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30</w:t>
      </w:r>
      <w:r>
        <w:rPr>
          <w:rFonts w:hint="eastAsia" w:ascii="宋体" w:hAnsi="宋体" w:cs="宋体"/>
          <w:color w:val="auto"/>
          <w:sz w:val="28"/>
          <w:szCs w:val="28"/>
          <w:highlight w:val="none"/>
          <w:lang w:val="zh-CN"/>
        </w:rPr>
        <w:t xml:space="preserve">分</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jc w:val="left"/>
        <w:spacing w:line="360" w:lineRule="auto"/>
        <w:rPr>
          <w:rFonts w:hint="default" w:ascii="宋体" w:hAnsi="宋体" w:cs="宋体"/>
          <w:color w:val="auto"/>
          <w:sz w:val="28"/>
          <w:szCs w:val="28"/>
          <w:highlight w:val="none"/>
          <w:lang w:val="en-US"/>
        </w:rPr>
      </w:pPr>
      <w:r>
        <w:rPr>
          <w:rFonts w:hint="eastAsia" w:ascii="宋体" w:hAnsi="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30</w:t>
      </w:r>
      <w:r/>
    </w:p>
    <w:p>
      <w:pPr>
        <w:ind w:firstLine="562"/>
        <w:spacing w:line="500" w:lineRule="exact"/>
        <w:rPr>
          <w:rFonts w:ascii="宋体" w:hAnsi="宋体" w:cs="宋体"/>
          <w:b/>
          <w:color w:val="auto"/>
          <w:sz w:val="28"/>
          <w:szCs w:val="28"/>
          <w:highlight w:val="none"/>
          <w:lang w:val="zh-CN"/>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政府采购政策功能落实（略）</w:t>
      </w:r>
      <w:r/>
    </w:p>
    <w:p>
      <w:pPr>
        <w:ind w:firstLine="562"/>
        <w:spacing w:line="460" w:lineRule="exact"/>
        <w:rPr>
          <w:rFonts w:ascii="宋体" w:hAnsi="宋体" w:cs="宋体"/>
          <w:bCs/>
          <w:color w:val="auto"/>
          <w:sz w:val="28"/>
          <w:szCs w:val="28"/>
          <w:highlight w:val="none"/>
        </w:rPr>
        <w:outlineLvl w:val="2"/>
      </w:pPr>
      <w:r>
        <w:rPr>
          <w:rFonts w:hint="eastAsia" w:ascii="宋体" w:hAnsi="宋体" w:cs="宋体"/>
          <w:b/>
          <w:color w:val="auto"/>
          <w:sz w:val="28"/>
          <w:szCs w:val="28"/>
          <w:highlight w:val="none"/>
          <w:lang w:val="zh-CN"/>
        </w:rPr>
        <w:t xml:space="preserve">（</w:t>
      </w:r>
      <w:r>
        <w:rPr>
          <w:rFonts w:hint="eastAsia" w:ascii="宋体" w:hAnsi="宋体" w:cs="宋体"/>
          <w:b/>
          <w:color w:val="auto"/>
          <w:sz w:val="28"/>
          <w:szCs w:val="28"/>
          <w:highlight w:val="none"/>
        </w:rPr>
        <w:t xml:space="preserve">六</w:t>
      </w:r>
      <w:r>
        <w:rPr>
          <w:rFonts w:hint="eastAsia" w:ascii="宋体" w:hAnsi="宋体" w:cs="宋体"/>
          <w:b/>
          <w:color w:val="auto"/>
          <w:sz w:val="28"/>
          <w:szCs w:val="28"/>
          <w:highlight w:val="none"/>
          <w:lang w:val="zh-CN"/>
        </w:rPr>
        <w:t xml:space="preserve">）</w:t>
      </w:r>
      <w:r>
        <w:rPr>
          <w:rFonts w:hint="eastAsia" w:ascii="宋体" w:hAnsi="宋体" w:cs="宋体"/>
          <w:b/>
          <w:color w:val="auto"/>
          <w:sz w:val="28"/>
          <w:szCs w:val="28"/>
          <w:highlight w:val="none"/>
        </w:rPr>
        <w:t xml:space="preserve">中标人的确定</w:t>
      </w:r>
      <w:r/>
    </w:p>
    <w:p>
      <w:pPr>
        <w:ind w:firstLine="560"/>
        <w:spacing w:line="46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评委会汇总各评委评分后，按照得分从高到低的顺序推荐三名中标候选人，并编写评标报告。</w:t>
      </w:r>
      <w:r/>
    </w:p>
    <w:p>
      <w:pPr>
        <w:ind w:firstLine="560"/>
        <w:spacing w:line="46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0"/>
        <w:spacing w:line="46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招标人委托评标委员会直接确定排名第一的中标候选人为中标人。</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（七）公告中标结果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60" w:lineRule="exact"/>
        <w:rPr>
          <w:rFonts w:ascii="宋体" w:hAnsi="宋体" w:cs="宋体"/>
          <w:b/>
          <w:bCs/>
          <w:color w:val="auto"/>
          <w:sz w:val="28"/>
          <w:szCs w:val="28"/>
          <w:highlight w:val="none"/>
        </w:rPr>
        <w:outlineLvl w:val="2"/>
      </w:pPr>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r/>
    </w:p>
    <w:p>
      <w:pPr>
        <w:ind w:firstLine="560"/>
        <w:spacing w:line="46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公告中标结果的同时，招标人</w:t>
      </w:r>
      <w:r>
        <w:rPr>
          <w:rFonts w:hint="eastAsia" w:ascii="宋体" w:hAnsi="宋体" w:cs="宋体"/>
          <w:bCs/>
          <w:color w:val="auto"/>
          <w:sz w:val="28"/>
          <w:szCs w:val="28"/>
          <w:highlight w:val="none"/>
        </w:rPr>
        <w:t xml:space="preserve">向中标人发放中标通知书。</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中标通知书发出后，招标人不得违法改变中标结果，中标人无正当理由不得放弃中标。</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（九）其他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当中标人无正当理由放弃中标，被查实存在影响中标结果的违法行为等情形，招标人有权按照政府采购相关法律法规的规定对其采取惩戒措施，包含但不限于列入采购失信人黑名单等措施。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招标人可以按照评标委员会提出的中标候选人名单排序依次确定其他中标候选人为中标人，也可以重新采购。</w:t>
      </w:r>
      <w:r/>
    </w:p>
    <w:p>
      <w:pPr>
        <w:jc w:val="center"/>
        <w:spacing w:line="420" w:lineRule="exact"/>
        <w:rPr>
          <w:rFonts w:ascii="宋体" w:hAnsi="宋体" w:cs="宋体"/>
          <w:color w:val="auto"/>
          <w:sz w:val="40"/>
          <w:szCs w:val="40"/>
          <w:highlight w:val="none"/>
        </w:rPr>
      </w:pPr>
      <w:r>
        <w:rPr>
          <w:rFonts w:hint="eastAsia" w:ascii="宋体" w:hAnsi="宋体" w:cs="宋体"/>
          <w:bCs/>
          <w:color w:val="auto"/>
          <w:sz w:val="36"/>
          <w:szCs w:val="36"/>
          <w:highlight w:val="none"/>
        </w:rPr>
        <w:br w:type="page" w:clear="all"/>
      </w:r>
      <w:r>
        <w:rPr>
          <w:rFonts w:hint="eastAsia" w:ascii="宋体" w:hAnsi="宋体" w:cs="宋体"/>
          <w:b/>
          <w:color w:val="auto"/>
          <w:sz w:val="36"/>
          <w:szCs w:val="36"/>
          <w:highlight w:val="none"/>
        </w:rPr>
        <w:t xml:space="preserve">第五部分  质疑与投诉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一、质疑事项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pStyle w:val="705"/>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2.2对采购过程提出质疑的，为各采购程序环节结束之日；</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4.对采购方式、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招标人及招标代理机构质疑接收人及联系方式，见招标文件第一部分。</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招标代理机构有权依据招标的有关规定，报请采购监管部门对该投标人进行相应的行政处罚和记录该投标人的失信信息。</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二、质疑的提出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三、《质疑函》的受理和回复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5.因质疑情况复杂，组织论证或审查时间较长的，招标人、代理机构以书面形式通知质疑人，可适当延长质疑回复处理时间。</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①质疑成立的处理。招标人或代理机构终止招标，并建议有关部门给相关当事人予以处理。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②质疑不成立的处理。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4）质疑人虽提供了相关佐证材料，但不能证明其质疑成立的，招标人或代理机构请质疑人补充相关佐证材料，仍不能证明其质疑成立的，作违约处理。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5）质疑人不能提供相关佐证材料的，招标人、代理机构已指出，质疑人仍然坚持提出质疑的，作违约处理。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6）对明显有违事实的、经相关专家或评标小组认定无依据的、经其他投标人举证无依据的质疑，作违约处理，视情在招标人官网媒体予以披露。</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五、投诉不成立的作违约处理。投标人进行质疑后，招标人回复质疑不成立，投标人仍进行投诉的，并最终投诉不成立的，作违约处理。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六、《质疑函》《质疑回复函》，质疑、举报、投诉不成立等相关情况，视情在招标人官网等相关媒体予以披露。</w:t>
      </w:r>
      <w:r/>
    </w:p>
    <w:p>
      <w:pPr>
        <w:ind w:firstLine="560"/>
        <w:spacing w:line="460" w:lineRule="exact"/>
        <w:rPr>
          <w:rFonts w:ascii="宋体" w:hAnsi="宋体" w:cs="宋体"/>
          <w:dstrike/>
          <w:color w:val="auto"/>
          <w:sz w:val="28"/>
          <w:szCs w:val="28"/>
          <w:highlight w:val="none"/>
        </w:rPr>
      </w:pPr>
      <w:r>
        <w:rPr>
          <w:rFonts w:hint="eastAsia" w:ascii="宋体" w:hAnsi="宋体" w:cs="宋体"/>
          <w:color w:val="auto"/>
          <w:sz w:val="28"/>
          <w:szCs w:val="28"/>
          <w:highlight w:val="none"/>
        </w:rPr>
        <w:t xml:space="preserve">七、质疑人对招标人或代理机构的答复不满意或者招标人、代理机构未在规定的时间内作出答复的，可以在答复期满后15个工作日内向相关监督管理部门投诉。</w:t>
      </w:r>
      <w:r/>
    </w:p>
    <w:p>
      <w:pPr>
        <w:rPr>
          <w:rFonts w:ascii="宋体" w:hAnsi="宋体" w:cs="宋体"/>
          <w:bCs/>
          <w:color w:val="auto"/>
          <w:sz w:val="36"/>
          <w:szCs w:val="36"/>
          <w:highlight w:val="none"/>
        </w:rPr>
      </w:pPr>
      <w:r>
        <w:rPr>
          <w:rFonts w:ascii="宋体" w:hAnsi="宋体" w:cs="宋体"/>
          <w:bCs/>
          <w:color w:val="auto"/>
          <w:sz w:val="36"/>
          <w:szCs w:val="36"/>
          <w:highlight w:val="none"/>
        </w:rPr>
      </w:r>
      <w:r/>
    </w:p>
    <w:p>
      <w:pP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p>
    <w:p>
      <w:pPr>
        <w:jc w:val="center"/>
        <w:spacing w:line="360" w:lineRule="auto"/>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第六部分  投标文件组成</w:t>
      </w:r>
      <w:r/>
    </w:p>
    <w:p>
      <w:pPr>
        <w:ind w:firstLine="562"/>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4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1.开标一览表（苏彩云系统固定格式）；</w:t>
      </w:r>
      <w:r/>
    </w:p>
    <w:p>
      <w:pPr>
        <w:ind w:firstLine="560"/>
        <w:spacing w:line="4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3.投标分项报价表（格式见附件2）；</w:t>
      </w:r>
      <w:r/>
    </w:p>
    <w:p>
      <w:pPr>
        <w:ind w:firstLine="560"/>
        <w:spacing w:line="42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.商务部分正负偏离表（格式见附件</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w:t>
      </w:r>
      <w:r/>
    </w:p>
    <w:p>
      <w:pPr>
        <w:ind w:firstLine="560"/>
        <w:spacing w:line="420" w:lineRule="exact"/>
        <w:rPr>
          <w:rFonts w:ascii="宋体" w:hAnsi="宋体" w:cs="宋体"/>
          <w:bCs/>
          <w:color w:val="auto"/>
          <w:sz w:val="28"/>
          <w:szCs w:val="28"/>
          <w:highlight w:val="none"/>
          <w:lang w:val="zh-CN"/>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zh-CN"/>
        </w:rPr>
        <w:t xml:space="preserve">.技术部分正负偏离表（格式见附件</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6.投标人信用承诺书（格式见附件6）。</w:t>
      </w:r>
      <w:r/>
    </w:p>
    <w:p>
      <w:pPr>
        <w:ind w:firstLine="562"/>
        <w:spacing w:line="420" w:lineRule="exact"/>
        <w:rPr>
          <w:rFonts w:ascii="宋体" w:hAnsi="宋体" w:cs="宋体"/>
          <w:b/>
          <w:bCs/>
          <w:color w:val="auto"/>
          <w:sz w:val="28"/>
          <w:szCs w:val="28"/>
          <w:highlight w:val="none"/>
          <w:lang w:val="zh-CN"/>
        </w:rPr>
        <w:outlineLvl w:val="1"/>
      </w:pPr>
      <w:r>
        <w:rPr>
          <w:rFonts w:hint="eastAsia" w:ascii="宋体" w:hAnsi="宋体" w:cs="宋体"/>
          <w:b/>
          <w:bCs/>
          <w:color w:val="auto"/>
          <w:sz w:val="28"/>
          <w:szCs w:val="28"/>
          <w:highlight w:val="none"/>
        </w:rPr>
        <w:t xml:space="preserve">二</w:t>
      </w:r>
      <w:r>
        <w:rPr>
          <w:rFonts w:hint="eastAsia" w:ascii="宋体" w:hAnsi="宋体" w:cs="宋体"/>
          <w:b/>
          <w:bCs/>
          <w:color w:val="auto"/>
          <w:sz w:val="28"/>
          <w:szCs w:val="28"/>
          <w:highlight w:val="none"/>
          <w:lang w:val="zh-CN"/>
        </w:rPr>
        <w:t xml:space="preserve">、资格审查证明材料</w:t>
      </w:r>
      <w:r/>
    </w:p>
    <w:p>
      <w:pPr>
        <w:ind w:firstLine="560"/>
        <w:spacing w:line="42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zh-CN"/>
        </w:rPr>
        <w:t xml:space="preserve">）；</w:t>
      </w:r>
      <w:r/>
    </w:p>
    <w:p>
      <w:pPr>
        <w:ind w:firstLine="560"/>
        <w:spacing w:line="42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w:t>
      </w:r>
      <w:r/>
    </w:p>
    <w:p>
      <w:pPr>
        <w:ind w:firstLine="560"/>
        <w:spacing w:line="42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非法定代表人需提供：</w:t>
      </w:r>
      <w:r>
        <w:rPr>
          <w:rFonts w:ascii="Calibri" w:hAnsi="Calibri" w:cs="Calibri"/>
          <w:color w:val="auto"/>
          <w:sz w:val="28"/>
          <w:szCs w:val="28"/>
          <w:highlight w:val="none"/>
        </w:rPr>
        <w:t xml:space="preserve">①</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w:t>
      </w:r>
      <w:r>
        <w:rPr>
          <w:rFonts w:ascii="Calibri" w:hAnsi="Calibri" w:cs="Calibri"/>
          <w:color w:val="auto"/>
          <w:sz w:val="28"/>
          <w:szCs w:val="28"/>
          <w:highlight w:val="none"/>
          <w:lang w:val="zh-CN"/>
        </w:rPr>
        <w:t xml:space="preserve">②</w:t>
      </w:r>
      <w:r>
        <w:rPr>
          <w:rFonts w:hint="eastAsia" w:ascii="宋体" w:hAnsi="宋体" w:cs="宋体"/>
          <w:color w:val="auto"/>
          <w:sz w:val="28"/>
          <w:szCs w:val="28"/>
          <w:highlight w:val="none"/>
          <w:lang w:val="zh-CN"/>
        </w:rPr>
        <w:t xml:space="preserve">法定代表人授权委托书原件</w:t>
      </w:r>
      <w:r>
        <w:rPr>
          <w:rFonts w:ascii="Calibri" w:hAnsi="Calibri" w:cs="Calibri"/>
          <w:color w:val="auto"/>
          <w:sz w:val="28"/>
          <w:szCs w:val="28"/>
          <w:highlight w:val="none"/>
          <w:lang w:val="zh-CN"/>
        </w:rPr>
        <w:t xml:space="preserve">③</w:t>
      </w:r>
      <w:r>
        <w:rPr>
          <w:rFonts w:hint="eastAsia" w:ascii="宋体" w:hAnsi="宋体" w:cs="宋体"/>
          <w:color w:val="auto"/>
          <w:sz w:val="28"/>
          <w:szCs w:val="28"/>
          <w:highlight w:val="none"/>
          <w:lang w:val="zh-CN"/>
        </w:rPr>
        <w:t xml:space="preserve">投标代表本人身份证复印件（格式见附件</w:t>
      </w: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lang w:val="zh-CN"/>
        </w:rPr>
        <w:t xml:space="preserve">）；</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4.提供有效的营业执照复印件加盖公章；</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5.其它需要提交的资格审查证明材料（以下满足其一即可）：</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5.1中小企业声明函（格式见附件10）；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5.2残疾人福利性单位声明函（格式见附件11）；</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5.3监狱和戒毒企业证明材料（格式见附件12）。</w:t>
      </w:r>
      <w:r/>
    </w:p>
    <w:p>
      <w:pPr>
        <w:ind w:firstLine="562"/>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注：上述“资格审查内容”中1-5条投标人必须逐条响应，否则作无效响应处理。</w:t>
      </w:r>
      <w:r/>
    </w:p>
    <w:p>
      <w:pPr>
        <w:ind w:firstLine="562"/>
        <w:spacing w:line="420" w:lineRule="exact"/>
        <w:rPr>
          <w:rFonts w:ascii="宋体" w:hAnsi="宋体" w:cs="宋体"/>
          <w:b/>
          <w:bCs/>
          <w:color w:val="auto"/>
          <w:sz w:val="28"/>
          <w:szCs w:val="28"/>
          <w:highlight w:val="none"/>
          <w:lang w:val="zh-CN"/>
        </w:rPr>
      </w:pPr>
      <w:r>
        <w:rPr>
          <w:rFonts w:hint="eastAsia" w:ascii="宋体" w:hAnsi="宋体" w:cs="宋体"/>
          <w:b/>
          <w:bCs/>
          <w:color w:val="auto"/>
          <w:sz w:val="28"/>
          <w:szCs w:val="28"/>
          <w:highlight w:val="none"/>
        </w:rPr>
        <w:t xml:space="preserve">三</w:t>
      </w:r>
      <w:r>
        <w:rPr>
          <w:rFonts w:hint="eastAsia" w:ascii="宋体" w:hAnsi="宋体" w:cs="宋体"/>
          <w:b/>
          <w:bCs/>
          <w:color w:val="auto"/>
          <w:sz w:val="28"/>
          <w:szCs w:val="28"/>
          <w:highlight w:val="none"/>
          <w:lang w:val="zh-CN"/>
        </w:rPr>
        <w:t xml:space="preserve">、符合性审查内容</w:t>
      </w:r>
      <w:r/>
    </w:p>
    <w:p>
      <w:pPr>
        <w:contextualSpacing/>
        <w:ind w:firstLine="560"/>
        <w:jc w:val="left"/>
        <w:spacing w:line="420" w:lineRule="exact"/>
        <w:rPr>
          <w:rFonts w:ascii="宋体" w:hAnsi="宋体" w:cs="宋体"/>
          <w:bCs/>
          <w:color w:val="auto"/>
          <w:sz w:val="28"/>
          <w:szCs w:val="28"/>
          <w:highlight w:val="none"/>
          <w:lang w:val="zh-CN"/>
        </w:rPr>
      </w:pPr>
      <w:r>
        <w:rPr>
          <w:rFonts w:hint="eastAsia" w:ascii="宋体" w:hAnsi="宋体" w:cs="宋体"/>
          <w:color w:val="auto"/>
          <w:sz w:val="28"/>
          <w:szCs w:val="28"/>
          <w:highlight w:val="none"/>
        </w:rPr>
        <w:t xml:space="preserve">1.按招标文件第三部分 项目需求“七、采购需求中必须满足的实质性要求”要求提供。</w:t>
      </w:r>
      <w:r/>
    </w:p>
    <w:p>
      <w:pPr>
        <w:ind w:firstLine="560"/>
        <w:spacing w:line="420" w:lineRule="exact"/>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2.异常低价审查（投标（响应）人在投标（响应）时无需提供佐证材料，上传空白页即可。</w:t>
      </w:r>
      <w:r/>
    </w:p>
    <w:p>
      <w:pPr>
        <w:ind w:firstLine="562"/>
        <w:spacing w:line="420" w:lineRule="exact"/>
        <w:rPr>
          <w:rFonts w:ascii="宋体" w:hAnsi="宋体" w:cs="宋体"/>
          <w:b/>
          <w:bCs/>
          <w:color w:val="auto"/>
          <w:sz w:val="28"/>
          <w:szCs w:val="28"/>
          <w:highlight w:val="none"/>
          <w:lang w:val="zh-CN"/>
        </w:rPr>
        <w:outlineLvl w:val="1"/>
      </w:pPr>
      <w:r>
        <w:rPr>
          <w:rFonts w:hint="eastAsia" w:ascii="宋体" w:hAnsi="宋体" w:cs="宋体"/>
          <w:b/>
          <w:bCs/>
          <w:color w:val="auto"/>
          <w:sz w:val="28"/>
          <w:szCs w:val="28"/>
          <w:highlight w:val="none"/>
        </w:rPr>
        <w:t xml:space="preserve">四</w:t>
      </w:r>
      <w:r>
        <w:rPr>
          <w:rFonts w:hint="eastAsia" w:ascii="宋体" w:hAnsi="宋体" w:cs="宋体"/>
          <w:b/>
          <w:bCs/>
          <w:color w:val="auto"/>
          <w:sz w:val="28"/>
          <w:szCs w:val="28"/>
          <w:highlight w:val="none"/>
          <w:lang w:val="zh-CN"/>
        </w:rPr>
        <w:t xml:space="preserve">、商务技术标</w:t>
      </w:r>
      <w:r/>
    </w:p>
    <w:p>
      <w:pPr>
        <w:contextualSpacing/>
        <w:ind w:firstLine="560"/>
        <w:jc w:val="left"/>
        <w:spacing w:line="4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1.投标方案、业绩等；</w:t>
      </w:r>
      <w:r/>
    </w:p>
    <w:p>
      <w:pPr>
        <w:contextualSpacing/>
        <w:ind w:firstLine="560"/>
        <w:jc w:val="left"/>
        <w:spacing w:line="4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2.商务技术评分标准中须提供的相关得分佐证材料；</w:t>
      </w:r>
      <w:r/>
    </w:p>
    <w:p>
      <w:pPr>
        <w:contextualSpacing/>
        <w:ind w:firstLine="560"/>
        <w:jc w:val="left"/>
        <w:spacing w:line="42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3.投标人认为需要提交的其他商务技术材料。</w:t>
      </w:r>
      <w:r/>
    </w:p>
    <w:p>
      <w:pPr>
        <w:spacing w:line="300" w:lineRule="auto"/>
        <w:rPr>
          <w:rFonts w:ascii="宋体" w:hAnsi="宋体" w:cs="宋体"/>
          <w:color w:val="auto"/>
          <w:sz w:val="32"/>
          <w:szCs w:val="32"/>
          <w:highlight w:val="none"/>
        </w:rPr>
        <w:outlineLvl w:val="0"/>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 xml:space="preserve">附件1</w:t>
      </w:r>
      <w:r/>
    </w:p>
    <w:p>
      <w:pPr>
        <w:jc w:val="center"/>
        <w:spacing w:line="300" w:lineRule="auto"/>
        <w:rPr>
          <w:rFonts w:ascii="宋体" w:hAnsi="宋体" w:cs="宋体"/>
          <w:b/>
          <w:bCs/>
          <w:color w:val="auto"/>
          <w:sz w:val="28"/>
          <w:szCs w:val="28"/>
          <w:highlight w:val="none"/>
          <w:lang w:val="zh-CN" w:bidi="zh-CN"/>
        </w:rPr>
        <w:outlineLvl w:val="0"/>
      </w:pPr>
      <w:r>
        <w:rPr>
          <w:rFonts w:hint="eastAsia" w:ascii="宋体" w:hAnsi="宋体" w:cs="宋体"/>
          <w:b/>
          <w:bCs/>
          <w:color w:val="auto"/>
          <w:sz w:val="28"/>
          <w:szCs w:val="28"/>
          <w:highlight w:val="none"/>
          <w:lang w:val="zh-CN" w:bidi="zh-CN"/>
        </w:rPr>
        <w:t xml:space="preserve">投标人情况一览表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单位名称</w:t>
            </w:r>
            <w:r/>
          </w:p>
        </w:tc>
        <w:tc>
          <w:tcPr>
            <w:gridSpan w:val="10"/>
            <w:tcW w:w="792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trHeight w:val="397"/>
        </w:trPr>
        <w:tc>
          <w:tcPr>
            <w:gridSpan w:val="3"/>
            <w:tcW w:w="2093" w:type="dxa"/>
            <w:vAlign w:val="center"/>
            <w:textDirection w:val="lrTb"/>
            <w:noWrap w:val="false"/>
          </w:tcPr>
          <w:p>
            <w:pP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9"/>
            <w:tcW w:w="7072"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97"/>
        </w:trPr>
        <w:tc>
          <w:tcPr>
            <w:tcW w:w="817" w:type="dxa"/>
            <w:vAlign w:val="center"/>
            <w:vMerge w:val="restart"/>
            <w:textDirection w:val="lrTb"/>
            <w:noWrap w:val="false"/>
          </w:tcPr>
          <w:p>
            <w:pPr>
              <w:ind w:left="266" w:hanging="266"/>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单位</w:t>
            </w:r>
            <w:r/>
          </w:p>
          <w:p>
            <w:pPr>
              <w:ind w:left="266" w:hanging="266"/>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tcW w:w="1544"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97"/>
        </w:trPr>
        <w:tc>
          <w:tcPr>
            <w:tcW w:w="817" w:type="dxa"/>
            <w:vAlign w:val="center"/>
            <w:vMerge w:val="continue"/>
            <w:textDirection w:val="lrTb"/>
            <w:noWrap w:val="false"/>
          </w:tcPr>
          <w:p>
            <w:pPr>
              <w:ind w:left="266" w:hanging="266"/>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主要</w:t>
            </w:r>
            <w:r/>
          </w:p>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产品</w:t>
            </w:r>
            <w:r/>
          </w:p>
        </w:tc>
        <w:tc>
          <w:tcPr>
            <w:gridSpan w:val="5"/>
            <w:tcW w:w="4142" w:type="dxa"/>
            <w:vAlign w:val="center"/>
            <w:textDirection w:val="lrTb"/>
            <w:noWrap w:val="false"/>
          </w:tcPr>
          <w:p>
            <w:pPr>
              <w:spacing w:before="120" w:after="12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r>
      <w:tr>
        <w:trPr>
          <w:cantSplit/>
          <w:trHeight w:val="1116"/>
        </w:trPr>
        <w:tc>
          <w:tcPr>
            <w:tcW w:w="817" w:type="dxa"/>
            <w:vAlign w:val="center"/>
            <w:vMerge w:val="continue"/>
            <w:textDirection w:val="lrTb"/>
            <w:noWrap w:val="false"/>
          </w:tcPr>
          <w:p>
            <w:pPr>
              <w:ind w:left="266" w:hanging="266"/>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固定资产</w:t>
            </w:r>
            <w:r/>
          </w:p>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原值：</w:t>
            </w:r>
            <w:r/>
          </w:p>
          <w:p>
            <w:pPr>
              <w:ind w:hanging="48"/>
              <w:jc w:val="right"/>
              <w:tabs>
                <w:tab w:val="left" w:pos="-48" w:leader="none"/>
                <w:tab w:val="left" w:pos="4320" w:leader="none"/>
              </w:tabs>
              <w:rPr>
                <w:rFonts w:ascii="宋体" w:hAnsi="宋体" w:cs="宋体"/>
                <w:color w:val="auto"/>
                <w:sz w:val="24"/>
                <w:highlight w:val="none"/>
              </w:rPr>
            </w:pPr>
            <w:r>
              <w:rPr>
                <w:rFonts w:ascii="宋体" w:hAnsi="宋体" w:cs="宋体"/>
                <w:color w:val="auto"/>
                <w:sz w:val="24"/>
                <w:highlight w:val="none"/>
              </w:rPr>
            </w:r>
            <w:r/>
          </w:p>
          <w:p>
            <w:pPr>
              <w:ind w:right="-133" w:hanging="48"/>
              <w:tabs>
                <w:tab w:val="left" w:pos="-48" w:leader="none"/>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净值：</w:t>
            </w:r>
            <w:r/>
          </w:p>
          <w:p>
            <w:pPr>
              <w:ind w:hanging="48"/>
              <w:jc w:val="right"/>
              <w:tabs>
                <w:tab w:val="left" w:pos="-48" w:leader="none"/>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56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5"/>
            <w:tcW w:w="4142" w:type="dxa"/>
            <w:vAlign w:val="center"/>
            <w:textDirection w:val="lrTb"/>
            <w:noWrap w:val="false"/>
          </w:tcPr>
          <w:p>
            <w:pP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r>
      <w:tr>
        <w:trPr>
          <w:cantSplit/>
          <w:trHeight w:val="397"/>
        </w:trPr>
        <w:tc>
          <w:tcPr>
            <w:tcW w:w="817" w:type="dxa"/>
            <w:vAlign w:val="center"/>
            <w:vMerge w:val="continue"/>
            <w:textDirection w:val="lrTb"/>
            <w:noWrap w:val="false"/>
          </w:tcPr>
          <w:p>
            <w:pPr>
              <w:ind w:left="266" w:hanging="266"/>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5"/>
            <w:tcW w:w="4142" w:type="dxa"/>
            <w:vAlign w:val="center"/>
            <w:textDirection w:val="lrTb"/>
            <w:noWrap w:val="false"/>
          </w:tcPr>
          <w:p>
            <w:pPr>
              <w:spacing w:before="120" w:after="12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r>
      <w:tr>
        <w:trPr>
          <w:cantSplit/>
          <w:trHeight w:val="397"/>
        </w:trPr>
        <w:tc>
          <w:tcPr>
            <w:tcW w:w="817" w:type="dxa"/>
            <w:vAlign w:val="center"/>
            <w:vMerge w:val="restart"/>
            <w:textDirection w:val="lrTb"/>
            <w:noWrap w:val="false"/>
          </w:tcPr>
          <w:p>
            <w:pPr>
              <w:ind w:left="266" w:hanging="266"/>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本次</w:t>
            </w:r>
            <w:r/>
          </w:p>
          <w:p>
            <w:pPr>
              <w:ind w:left="266" w:hanging="266"/>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投标</w:t>
            </w:r>
            <w:r/>
          </w:p>
          <w:p>
            <w:pPr>
              <w:ind w:left="266" w:hanging="266"/>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产品</w:t>
            </w:r>
            <w:r/>
          </w:p>
          <w:p>
            <w:pPr>
              <w:ind w:left="266" w:hanging="266"/>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本次投标</w:t>
            </w:r>
            <w:r/>
          </w:p>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上年</w:t>
            </w:r>
            <w:r/>
          </w:p>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产品技术</w:t>
            </w:r>
            <w:r/>
          </w:p>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曾获何级</w:t>
            </w:r>
            <w:r/>
          </w:p>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何种奖励</w:t>
            </w:r>
            <w:r/>
          </w:p>
        </w:tc>
        <w:tc>
          <w:tcPr>
            <w:gridSpan w:val="2"/>
            <w:tcW w:w="1606" w:type="dxa"/>
            <w:vAlign w:val="center"/>
            <w:textDirection w:val="lrTb"/>
            <w:noWrap w:val="false"/>
          </w:tcPr>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主要用户</w:t>
            </w:r>
            <w:r/>
          </w:p>
          <w:p>
            <w:pPr>
              <w:jc w:val="cente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名称</w:t>
            </w:r>
            <w:r/>
          </w:p>
        </w:tc>
      </w:tr>
      <w:tr>
        <w:trPr>
          <w:cantSplit/>
          <w:trHeight w:val="397"/>
        </w:trPr>
        <w:tc>
          <w:tcPr>
            <w:tcW w:w="81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126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126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126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94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tcW w:w="126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97"/>
        </w:trPr>
        <w:tc>
          <w:tcPr>
            <w:tcW w:w="817" w:type="dxa"/>
            <w:vAlign w:val="center"/>
            <w:vMerge w:val="restart"/>
            <w:textDirection w:val="lrTb"/>
            <w:noWrap w:val="false"/>
          </w:tcPr>
          <w:p>
            <w:pPr>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近3年完成及正在执行的合同中发生的由于投标人违约或部分违约而引起诉讼和受到索赔的案件具体情况及结果（须如实填写，若对此进行隐瞒，尔后又被招标人或代理机构发现，或被它人举证成立，其投标资格将被取消）。</w:t>
            </w:r>
            <w:r/>
          </w:p>
        </w:tc>
        <w:tc>
          <w:tcPr>
            <w:gridSpan w:val="5"/>
            <w:tcW w:w="4142" w:type="dxa"/>
            <w:vAlign w:val="center"/>
            <w:textDirection w:val="lrTb"/>
            <w:noWrap w:val="false"/>
          </w:tcPr>
          <w:p>
            <w:pPr>
              <w:spacing w:before="60" w:after="60"/>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W w:w="817" w:type="dxa"/>
            <w:vAlign w:val="center"/>
            <w:vMerge w:val="continue"/>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6"/>
            <w:tcW w:w="4206"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c>
          <w:tcPr>
            <w:gridSpan w:val="5"/>
            <w:tcW w:w="4142" w:type="dxa"/>
            <w:vAlign w:val="center"/>
            <w:textDirection w:val="lrTb"/>
            <w:noWrap w:val="false"/>
          </w:tcPr>
          <w:p>
            <w:pPr>
              <w:tabs>
                <w:tab w:val="left" w:pos="4320" w:leader="none"/>
              </w:tabs>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spacing w:line="300" w:lineRule="auto"/>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附件2</w:t>
      </w:r>
      <w:r/>
    </w:p>
    <w:p>
      <w:pPr>
        <w:ind w:firstLine="7366"/>
        <w:spacing w:line="300" w:lineRule="auto"/>
        <w:rPr>
          <w:rFonts w:ascii="宋体" w:hAnsi="宋体" w:cs="宋体"/>
          <w:color w:val="auto"/>
          <w:sz w:val="28"/>
          <w:szCs w:val="28"/>
          <w:highlight w:val="none"/>
          <w:lang w:bidi="zh-CN"/>
        </w:rPr>
      </w:pPr>
      <w:r>
        <w:rPr>
          <w:rFonts w:ascii="宋体" w:hAnsi="宋体" w:cs="宋体"/>
          <w:color w:val="auto"/>
          <w:sz w:val="28"/>
          <w:szCs w:val="28"/>
          <w:highlight w:val="none"/>
          <w:lang w:bidi="zh-CN"/>
        </w:rPr>
      </w:r>
      <w:r/>
    </w:p>
    <w:p>
      <w:pPr>
        <w:pStyle w:val="742"/>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分项报价表</w:t>
      </w:r>
      <w:r/>
    </w:p>
    <w:tbl>
      <w:tblPr>
        <w:tblStyle w:val="712"/>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473"/>
        <w:gridCol w:w="1088"/>
        <w:gridCol w:w="1260"/>
        <w:gridCol w:w="690"/>
        <w:gridCol w:w="990"/>
        <w:gridCol w:w="897"/>
        <w:gridCol w:w="750"/>
        <w:gridCol w:w="1017"/>
        <w:gridCol w:w="964"/>
      </w:tblGrid>
      <w:tr>
        <w:trPr>
          <w:jc w:val="center"/>
        </w:trPr>
        <w:tc>
          <w:tcPr>
            <w:shd w:val="clear" w:color="auto" w:fill="auto"/>
            <w:tcMar>
              <w:left w:w="0" w:type="dxa"/>
              <w:top w:w="0" w:type="dxa"/>
              <w:right w:w="0" w:type="dxa"/>
              <w:bottom w:w="0" w:type="dxa"/>
            </w:tcMar>
            <w:tcW w:w="545"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Mar>
              <w:left w:w="0" w:type="dxa"/>
              <w:top w:w="0" w:type="dxa"/>
              <w:right w:w="0" w:type="dxa"/>
              <w:bottom w:w="0" w:type="dxa"/>
            </w:tcMar>
            <w:tcW w:w="1473"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产品名称</w:t>
            </w:r>
            <w:r/>
          </w:p>
        </w:tc>
        <w:tc>
          <w:tcPr>
            <w:shd w:val="clear" w:color="auto" w:fill="auto"/>
            <w:tcMar>
              <w:left w:w="0" w:type="dxa"/>
              <w:top w:w="0" w:type="dxa"/>
              <w:right w:w="0" w:type="dxa"/>
              <w:bottom w:w="0" w:type="dxa"/>
            </w:tcMar>
            <w:tcW w:w="1088"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产品规格、型号</w:t>
            </w:r>
            <w:r/>
          </w:p>
        </w:tc>
        <w:tc>
          <w:tcPr>
            <w:shd w:val="clear" w:color="auto" w:fill="auto"/>
            <w:tcMar>
              <w:left w:w="0" w:type="dxa"/>
              <w:top w:w="0" w:type="dxa"/>
              <w:right w:w="0" w:type="dxa"/>
              <w:bottom w:w="0" w:type="dxa"/>
            </w:tcMar>
            <w:tcW w:w="126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品牌（如有）</w:t>
            </w:r>
            <w:r/>
          </w:p>
        </w:tc>
        <w:tc>
          <w:tcPr>
            <w:shd w:val="clear" w:color="auto" w:fill="auto"/>
            <w:tcMar>
              <w:left w:w="0" w:type="dxa"/>
              <w:top w:w="0" w:type="dxa"/>
              <w:right w:w="0" w:type="dxa"/>
              <w:bottom w:w="0" w:type="dxa"/>
            </w:tcMar>
            <w:tcW w:w="69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auto"/>
            <w:tcMar>
              <w:left w:w="0" w:type="dxa"/>
              <w:top w:w="0" w:type="dxa"/>
              <w:right w:w="0" w:type="dxa"/>
              <w:bottom w:w="0" w:type="dxa"/>
            </w:tcMar>
            <w:tcW w:w="990" w:type="dxa"/>
            <w:vAlign w:val="center"/>
            <w:textDirection w:val="lrTb"/>
            <w:noWrap w:val="false"/>
          </w:tcPr>
          <w:p>
            <w:pPr>
              <w:pStyle w:val="743"/>
              <w:ind w:left="0" w:firstLine="0"/>
              <w:jc w:val="center"/>
              <w:spacing w:after="0" w:line="420" w:lineRule="exact"/>
              <w:rPr>
                <w:color w:val="auto"/>
                <w:sz w:val="20"/>
                <w:szCs w:val="22"/>
                <w:highlight w:val="none"/>
              </w:rPr>
            </w:pPr>
            <w:r>
              <w:rPr>
                <w:rFonts w:hint="eastAsia" w:ascii="宋体" w:hAnsi="宋体" w:cs="宋体"/>
                <w:color w:val="auto"/>
                <w:sz w:val="24"/>
                <w:highlight w:val="none"/>
              </w:rPr>
              <w:t xml:space="preserve">数量</w:t>
            </w:r>
            <w:r/>
          </w:p>
        </w:tc>
        <w:tc>
          <w:tcPr>
            <w:tcMar>
              <w:left w:w="0" w:type="dxa"/>
              <w:top w:w="0" w:type="dxa"/>
              <w:right w:w="0" w:type="dxa"/>
              <w:bottom w:w="0" w:type="dxa"/>
            </w:tcMar>
            <w:tcW w:w="897"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szCs w:val="32"/>
                <w:highlight w:val="none"/>
              </w:rPr>
              <w:t xml:space="preserve">制造商名称</w:t>
            </w:r>
            <w:r/>
          </w:p>
        </w:tc>
        <w:tc>
          <w:tcPr>
            <w:tcMar>
              <w:left w:w="0" w:type="dxa"/>
              <w:top w:w="0" w:type="dxa"/>
              <w:right w:w="0" w:type="dxa"/>
              <w:bottom w:w="0" w:type="dxa"/>
            </w:tcMar>
            <w:tcW w:w="750"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szCs w:val="32"/>
                <w:highlight w:val="none"/>
              </w:rPr>
              <w:t xml:space="preserve">产地</w:t>
            </w:r>
            <w:r/>
          </w:p>
        </w:tc>
        <w:tc>
          <w:tcPr>
            <w:tcMar>
              <w:left w:w="0" w:type="dxa"/>
              <w:top w:w="0" w:type="dxa"/>
              <w:right w:w="0" w:type="dxa"/>
              <w:bottom w:w="0" w:type="dxa"/>
            </w:tcMar>
            <w:tcW w:w="1017" w:type="dxa"/>
            <w:vAlign w:val="center"/>
            <w:textDirection w:val="lrTb"/>
            <w:noWrap w:val="false"/>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单价（元）</w:t>
            </w:r>
            <w:r/>
          </w:p>
        </w:tc>
        <w:tc>
          <w:tcPr>
            <w:tcMar>
              <w:left w:w="0" w:type="dxa"/>
              <w:top w:w="0" w:type="dxa"/>
              <w:right w:w="0" w:type="dxa"/>
              <w:bottom w:w="0" w:type="dxa"/>
            </w:tcMar>
            <w:tcW w:w="964" w:type="dxa"/>
            <w:vAlign w:val="center"/>
            <w:textDirection w:val="lrTb"/>
            <w:noWrap w:val="false"/>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总价（元）</w:t>
            </w:r>
            <w:r/>
          </w:p>
        </w:tc>
      </w:tr>
      <w:tr>
        <w:trPr>
          <w:jc w:val="center"/>
          <w:trHeight w:val="610"/>
        </w:trPr>
        <w:tc>
          <w:tcPr>
            <w:tcMar>
              <w:left w:w="0" w:type="dxa"/>
              <w:top w:w="0" w:type="dxa"/>
              <w:right w:w="0" w:type="dxa"/>
              <w:bottom w:w="0" w:type="dxa"/>
            </w:tcMar>
            <w:tcW w:w="545"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0" w:type="dxa"/>
              <w:top w:w="0" w:type="dxa"/>
              <w:right w:w="0" w:type="dxa"/>
              <w:bottom w:w="0" w:type="dxa"/>
            </w:tcMar>
            <w:tcW w:w="1473"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智能存储架</w:t>
            </w:r>
            <w:r/>
          </w:p>
        </w:tc>
        <w:tc>
          <w:tcPr>
            <w:tcMar>
              <w:left w:w="0" w:type="dxa"/>
              <w:top w:w="0" w:type="dxa"/>
              <w:right w:w="0" w:type="dxa"/>
              <w:bottom w:w="0" w:type="dxa"/>
            </w:tcMar>
            <w:tcW w:w="1088"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26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690"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组</w:t>
            </w:r>
            <w:r/>
          </w:p>
        </w:tc>
        <w:tc>
          <w:tcPr>
            <w:tcMar>
              <w:left w:w="0" w:type="dxa"/>
              <w:top w:w="0" w:type="dxa"/>
              <w:right w:w="0" w:type="dxa"/>
              <w:bottom w:w="0" w:type="dxa"/>
            </w:tcMar>
            <w:tcW w:w="99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270</w:t>
            </w:r>
            <w:r/>
          </w:p>
        </w:tc>
        <w:tc>
          <w:tcPr>
            <w:tcMar>
              <w:left w:w="0" w:type="dxa"/>
              <w:top w:w="0" w:type="dxa"/>
              <w:right w:w="0" w:type="dxa"/>
              <w:bottom w:w="0" w:type="dxa"/>
            </w:tcMar>
            <w:tcW w:w="89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75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01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964"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40"/>
        </w:trPr>
        <w:tc>
          <w:tcPr>
            <w:tcMar>
              <w:left w:w="0" w:type="dxa"/>
              <w:top w:w="0" w:type="dxa"/>
              <w:right w:w="0" w:type="dxa"/>
              <w:bottom w:w="0" w:type="dxa"/>
            </w:tcMar>
            <w:tcW w:w="545"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0" w:type="dxa"/>
              <w:top w:w="0" w:type="dxa"/>
              <w:right w:w="0" w:type="dxa"/>
              <w:bottom w:w="0" w:type="dxa"/>
            </w:tcMar>
            <w:tcW w:w="14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蜡片柜</w:t>
            </w:r>
            <w:r/>
          </w:p>
        </w:tc>
        <w:tc>
          <w:tcPr>
            <w:tcMar>
              <w:left w:w="0" w:type="dxa"/>
              <w:top w:w="0" w:type="dxa"/>
              <w:right w:w="0" w:type="dxa"/>
              <w:bottom w:w="0" w:type="dxa"/>
            </w:tcMar>
            <w:tcW w:w="1088"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26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套</w:t>
            </w:r>
            <w:r/>
          </w:p>
        </w:tc>
        <w:tc>
          <w:tcPr>
            <w:tcMar>
              <w:left w:w="0" w:type="dxa"/>
              <w:top w:w="0" w:type="dxa"/>
              <w:right w:w="0" w:type="dxa"/>
              <w:bottom w:w="0" w:type="dxa"/>
            </w:tcMar>
            <w:tcW w:w="99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225</w:t>
            </w:r>
            <w:r/>
          </w:p>
        </w:tc>
        <w:tc>
          <w:tcPr>
            <w:tcMar>
              <w:left w:w="0" w:type="dxa"/>
              <w:top w:w="0" w:type="dxa"/>
              <w:right w:w="0" w:type="dxa"/>
              <w:bottom w:w="0" w:type="dxa"/>
            </w:tcMar>
            <w:tcW w:w="89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75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01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964"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1155"/>
        </w:trPr>
        <w:tc>
          <w:tcPr>
            <w:tcMar>
              <w:left w:w="0" w:type="dxa"/>
              <w:top w:w="0" w:type="dxa"/>
              <w:right w:w="0" w:type="dxa"/>
              <w:bottom w:w="0" w:type="dxa"/>
            </w:tcMar>
            <w:tcW w:w="545"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0" w:type="dxa"/>
              <w:top w:w="0" w:type="dxa"/>
              <w:right w:w="0" w:type="dxa"/>
              <w:bottom w:w="0" w:type="dxa"/>
            </w:tcMar>
            <w:tcW w:w="14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切片柜</w:t>
            </w:r>
            <w:r/>
          </w:p>
        </w:tc>
        <w:tc>
          <w:tcPr>
            <w:tcMar>
              <w:left w:w="0" w:type="dxa"/>
              <w:top w:w="0" w:type="dxa"/>
              <w:right w:w="0" w:type="dxa"/>
              <w:bottom w:w="0" w:type="dxa"/>
            </w:tcMar>
            <w:tcW w:w="1088"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26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套</w:t>
            </w:r>
            <w:r/>
          </w:p>
        </w:tc>
        <w:tc>
          <w:tcPr>
            <w:tcMar>
              <w:left w:w="0" w:type="dxa"/>
              <w:top w:w="0" w:type="dxa"/>
              <w:right w:w="0" w:type="dxa"/>
              <w:bottom w:w="0" w:type="dxa"/>
            </w:tcMar>
            <w:tcW w:w="99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75</w:t>
            </w:r>
            <w:r/>
          </w:p>
        </w:tc>
        <w:tc>
          <w:tcPr>
            <w:tcMar>
              <w:left w:w="0" w:type="dxa"/>
              <w:top w:w="0" w:type="dxa"/>
              <w:right w:w="0" w:type="dxa"/>
              <w:bottom w:w="0" w:type="dxa"/>
            </w:tcMar>
            <w:tcW w:w="89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75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01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964"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1155"/>
        </w:trPr>
        <w:tc>
          <w:tcPr>
            <w:tcMar>
              <w:left w:w="0" w:type="dxa"/>
              <w:top w:w="0" w:type="dxa"/>
              <w:right w:w="0" w:type="dxa"/>
              <w:bottom w:w="0" w:type="dxa"/>
            </w:tcMar>
            <w:tcW w:w="545" w:type="dxa"/>
            <w:vAlign w:val="center"/>
            <w:textDirection w:val="lrTb"/>
            <w:noWrap w:val="false"/>
          </w:tcPr>
          <w:p>
            <w:pPr>
              <w:pStyle w:val="743"/>
              <w:ind w:left="0" w:firstLine="0"/>
              <w:jc w:val="center"/>
              <w:spacing w:after="0"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Mar>
              <w:left w:w="0" w:type="dxa"/>
              <w:top w:w="0" w:type="dxa"/>
              <w:right w:w="0" w:type="dxa"/>
              <w:bottom w:w="0" w:type="dxa"/>
            </w:tcMar>
            <w:tcW w:w="1473" w:type="dxa"/>
            <w:vAlign w:val="center"/>
            <w:textDirection w:val="lrTb"/>
            <w:noWrap w:val="false"/>
          </w:tcPr>
          <w:p>
            <w:pPr>
              <w:rPr>
                <w:rFonts w:ascii="宋体" w:hAnsi="宋体" w:cs="宋体"/>
                <w:color w:val="auto"/>
                <w:sz w:val="24"/>
                <w:highlight w:val="none"/>
              </w:rPr>
            </w:pPr>
            <w:r>
              <w:rPr>
                <w:rFonts w:hint="eastAsia" w:ascii="宋体" w:hAnsi="宋体" w:cs="宋体"/>
                <w:bCs/>
                <w:color w:val="auto"/>
                <w:sz w:val="24"/>
                <w:highlight w:val="none"/>
              </w:rPr>
              <w:t xml:space="preserve">蜡片柜、切片柜专用转运车</w:t>
            </w:r>
            <w:r/>
          </w:p>
        </w:tc>
        <w:tc>
          <w:tcPr>
            <w:tcMar>
              <w:left w:w="0" w:type="dxa"/>
              <w:top w:w="0" w:type="dxa"/>
              <w:right w:w="0" w:type="dxa"/>
              <w:bottom w:w="0" w:type="dxa"/>
            </w:tcMar>
            <w:tcW w:w="1088"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26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辆</w:t>
            </w:r>
            <w:r/>
          </w:p>
        </w:tc>
        <w:tc>
          <w:tcPr>
            <w:tcMar>
              <w:left w:w="0" w:type="dxa"/>
              <w:top w:w="0" w:type="dxa"/>
              <w:right w:w="0" w:type="dxa"/>
              <w:bottom w:w="0" w:type="dxa"/>
            </w:tcMar>
            <w:tcW w:w="990"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Mar>
              <w:left w:w="0" w:type="dxa"/>
              <w:top w:w="0" w:type="dxa"/>
              <w:right w:w="0" w:type="dxa"/>
              <w:bottom w:w="0" w:type="dxa"/>
            </w:tcMar>
            <w:tcW w:w="89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75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017"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964"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385"/>
        </w:trPr>
        <w:tc>
          <w:tcPr>
            <w:gridSpan w:val="9"/>
            <w:tcMar>
              <w:left w:w="0" w:type="dxa"/>
              <w:top w:w="0" w:type="dxa"/>
              <w:right w:w="0" w:type="dxa"/>
              <w:bottom w:w="0" w:type="dxa"/>
            </w:tcMar>
            <w:tcW w:w="8710"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hint="eastAsia" w:ascii="宋体" w:hAnsi="宋体" w:cs="宋体"/>
                <w:color w:val="auto"/>
                <w:sz w:val="24"/>
                <w:highlight w:val="none"/>
              </w:rPr>
              <w:t xml:space="preserve">合计（元）</w:t>
            </w:r>
            <w:r/>
          </w:p>
        </w:tc>
        <w:tc>
          <w:tcPr>
            <w:tcMar>
              <w:left w:w="0" w:type="dxa"/>
              <w:top w:w="0" w:type="dxa"/>
              <w:right w:w="0" w:type="dxa"/>
              <w:bottom w:w="0" w:type="dxa"/>
            </w:tcMar>
            <w:tcW w:w="964" w:type="dxa"/>
            <w:vAlign w:val="center"/>
            <w:textDirection w:val="lrTb"/>
            <w:noWrap w:val="false"/>
          </w:tcPr>
          <w:p>
            <w:pPr>
              <w:pStyle w:val="743"/>
              <w:ind w:left="0" w:firstLine="0"/>
              <w:jc w:val="center"/>
              <w:spacing w:after="0" w:line="420" w:lineRule="exact"/>
              <w:rPr>
                <w:rFonts w:ascii="宋体" w:hAnsi="宋体" w:cs="宋体"/>
                <w:color w:val="auto"/>
                <w:sz w:val="24"/>
                <w:highlight w:val="none"/>
              </w:rPr>
            </w:pPr>
            <w:r>
              <w:rPr>
                <w:rFonts w:ascii="宋体" w:hAnsi="宋体" w:cs="宋体"/>
                <w:color w:val="auto"/>
                <w:sz w:val="24"/>
                <w:highlight w:val="none"/>
              </w:rPr>
            </w:r>
            <w:r/>
          </w:p>
        </w:tc>
      </w:tr>
    </w:tbl>
    <w:p>
      <w:pPr>
        <w:pStyle w:val="742"/>
        <w:ind w:firstLine="0"/>
        <w:jc w:val="center"/>
        <w:rPr>
          <w:rFonts w:ascii="宋体" w:hAnsi="宋体" w:cs="宋体"/>
          <w:b/>
          <w:color w:val="auto"/>
          <w:sz w:val="28"/>
          <w:szCs w:val="28"/>
          <w:highlight w:val="none"/>
        </w:rPr>
      </w:pPr>
      <w:r>
        <w:rPr>
          <w:rFonts w:ascii="宋体" w:hAnsi="宋体" w:cs="宋体"/>
          <w:b/>
          <w:color w:val="auto"/>
          <w:sz w:val="28"/>
          <w:szCs w:val="28"/>
          <w:highlight w:val="none"/>
        </w:rPr>
      </w:r>
      <w:r/>
    </w:p>
    <w:p>
      <w:pPr>
        <w:pStyle w:val="742"/>
        <w:ind w:firstLine="0"/>
        <w:jc w:val="center"/>
        <w:rPr>
          <w:rFonts w:ascii="宋体" w:hAnsi="宋体" w:cs="宋体"/>
          <w:b/>
          <w:color w:val="auto"/>
          <w:sz w:val="28"/>
          <w:szCs w:val="28"/>
          <w:highlight w:val="none"/>
        </w:rPr>
      </w:pPr>
      <w:r>
        <w:rPr>
          <w:rFonts w:ascii="宋体" w:hAnsi="宋体" w:cs="宋体"/>
          <w:b/>
          <w:color w:val="auto"/>
          <w:sz w:val="28"/>
          <w:szCs w:val="28"/>
          <w:highlight w:val="none"/>
        </w:rPr>
      </w:r>
      <w:r/>
    </w:p>
    <w:p>
      <w:pPr>
        <w:pStyle w:val="742"/>
        <w:ind w:firstLine="0"/>
        <w:jc w:val="center"/>
        <w:rPr>
          <w:rFonts w:ascii="宋体" w:hAnsi="宋体" w:cs="宋体"/>
          <w:b/>
          <w:color w:val="auto"/>
          <w:sz w:val="28"/>
          <w:szCs w:val="28"/>
          <w:highlight w:val="none"/>
        </w:rPr>
      </w:pPr>
      <w:r>
        <w:rPr>
          <w:rFonts w:ascii="宋体" w:hAnsi="宋体" w:cs="宋体"/>
          <w:b/>
          <w:color w:val="auto"/>
          <w:sz w:val="28"/>
          <w:szCs w:val="28"/>
          <w:highlight w:val="none"/>
        </w:rPr>
      </w:r>
      <w:r/>
    </w:p>
    <w:p>
      <w:pPr>
        <w:ind w:left="1322" w:hanging="1321"/>
        <w:jc w:val="righ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投标人名称：（加盖ca签章）             </w:t>
      </w:r>
      <w:r/>
    </w:p>
    <w:p>
      <w:pPr>
        <w:ind w:left="1322" w:hanging="1321"/>
        <w:jc w:val="righ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法定代表人或授权委托人（签字或加盖ca签章）：</w:t>
      </w:r>
      <w:r/>
    </w:p>
    <w:p>
      <w:pPr>
        <w:jc w:val="right"/>
        <w:rPr>
          <w:rFonts w:ascii="宋体" w:hAnsi="宋体" w:cs="宋体"/>
          <w:color w:val="auto"/>
          <w:sz w:val="32"/>
          <w:szCs w:val="32"/>
          <w:highlight w:val="none"/>
          <w:lang w:val="zh-CN"/>
        </w:rPr>
      </w:pPr>
      <w:r>
        <w:rPr>
          <w:rFonts w:hint="eastAsia" w:ascii="宋体" w:hAnsi="宋体" w:cs="宋体"/>
          <w:color w:val="auto"/>
          <w:sz w:val="28"/>
          <w:szCs w:val="28"/>
          <w:highlight w:val="none"/>
        </w:rPr>
        <w:t xml:space="preserve">日期：</w:t>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spacing w:line="4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附件3</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商务部分正负偏离表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3191"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128"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w:t>
            </w:r>
            <w:r/>
          </w:p>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191"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128"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3191"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128"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附件3-1  证明材料1，证明材料2，……</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1.投标人需对商务要求逐条做出明确响应，完全响应的可以空白表格加盖公章。</w:t>
      </w:r>
      <w:r/>
    </w:p>
    <w:p>
      <w:pPr>
        <w:contextualSpacing/>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contextualSpacing/>
        <w:spacing w:line="400" w:lineRule="exact"/>
        <w:rPr>
          <w:rFonts w:ascii="宋体" w:hAnsi="宋体" w:cs="宋体"/>
          <w:color w:val="auto"/>
          <w:sz w:val="32"/>
          <w:szCs w:val="32"/>
          <w:highlight w:val="none"/>
        </w:rPr>
      </w:pPr>
      <w:r>
        <w:rPr>
          <w:rFonts w:ascii="宋体" w:hAnsi="宋体" w:cs="宋体"/>
          <w:color w:val="auto"/>
          <w:sz w:val="32"/>
          <w:szCs w:val="32"/>
          <w:highlight w:val="none"/>
        </w:rPr>
      </w:r>
      <w:r/>
    </w:p>
    <w:p>
      <w:pPr>
        <w:contextualSpacing/>
        <w:spacing w:line="400" w:lineRule="exact"/>
        <w:rPr>
          <w:rFonts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0" w:equalWidth="1"/>
          <w:docGrid w:linePitch="360"/>
        </w:sectPr>
      </w:pPr>
      <w:r>
        <w:rPr>
          <w:rFonts w:ascii="宋体" w:hAnsi="宋体" w:cs="宋体"/>
          <w:color w:val="auto"/>
          <w:sz w:val="32"/>
          <w:szCs w:val="32"/>
          <w:highlight w:val="none"/>
        </w:rPr>
      </w:r>
      <w:r/>
    </w:p>
    <w:p>
      <w:pPr>
        <w:contextualSpacing/>
        <w:spacing w:line="4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附件4</w:t>
      </w:r>
      <w:r/>
    </w:p>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cs="宋体"/>
          <w:bCs/>
          <w:color w:val="auto"/>
          <w:sz w:val="28"/>
          <w:szCs w:val="28"/>
          <w:highlight w:val="none"/>
        </w:rPr>
        <w:t xml:space="preserve">技术</w:t>
      </w:r>
      <w:r>
        <w:rPr>
          <w:rFonts w:hint="eastAsia" w:ascii="宋体" w:hAnsi="宋体" w:cs="宋体"/>
          <w:bCs/>
          <w:color w:val="auto"/>
          <w:sz w:val="28"/>
          <w:szCs w:val="28"/>
          <w:highlight w:val="none"/>
          <w:lang w:val="zh-CN"/>
        </w:rPr>
        <w:t xml:space="preserve">部分正负偏离表</w:t>
      </w:r>
      <w:r>
        <w:rPr>
          <w:rFonts w:hint="eastAsia" w:ascii="宋体" w:hAnsi="宋体" w:cs="宋体"/>
          <w:bCs/>
          <w:color w:val="auto"/>
          <w:sz w:val="28"/>
          <w:szCs w:val="28"/>
          <w:highlight w:val="none"/>
          <w:lang w:val="en-US" w:eastAsia="zh-CN"/>
        </w:rPr>
        <w:t xml:space="preserve">(不带“▲”项）</w:t>
      </w:r>
      <w:r/>
    </w:p>
    <w:tbl>
      <w:tblPr>
        <w:tblStyle w:val="712"/>
        <w:tblpPr w:horzAnchor="text" w:tblpXSpec="center" w:vertAnchor="text" w:tblpY="1" w:leftFromText="180" w:topFromText="0" w:rightFromText="180" w:bottomFromText="0"/>
        <w:tblW w:w="9396" w:type="dxa"/>
        <w:tblInd w:w="-15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6"/>
        <w:gridCol w:w="6695"/>
        <w:gridCol w:w="1050"/>
        <w:gridCol w:w="1115"/>
      </w:tblGrid>
      <w:tr>
        <w:trPr/>
        <w:tc>
          <w:tcPr>
            <w:tcW w:w="536"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669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技术要求</w:t>
            </w:r>
            <w:r/>
          </w:p>
        </w:tc>
        <w:tc>
          <w:tcPr>
            <w:tcW w:w="105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111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trHeight w:val="640"/>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640"/>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360"/>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640"/>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536"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w:t>
            </w:r>
            <w:r/>
          </w:p>
        </w:tc>
        <w:tc>
          <w:tcPr>
            <w:tcW w:w="6695"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536"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W w:w="6695" w:type="dxa"/>
            <w:textDirection w:val="lrTb"/>
            <w:noWrap w:val="false"/>
          </w:tcPr>
          <w:p>
            <w:pPr>
              <w:jc w:val="left"/>
              <w:keepLines w:val="0"/>
              <w:keepNext w:val="0"/>
              <w:pageBreakBefore w:val="0"/>
              <w:spacing w:line="380" w:lineRule="exact"/>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W w:w="1050"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115"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bl>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附件4-1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1.投标人需对技术要求逐条做出明确响应。</w:t>
      </w:r>
      <w:r/>
    </w:p>
    <w:p>
      <w:pPr>
        <w:spacing w:line="40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rPr>
          <w:rFonts w:ascii="宋体" w:hAnsi="宋体" w:cs="宋体"/>
          <w:color w:val="auto"/>
          <w:sz w:val="28"/>
          <w:szCs w:val="28"/>
          <w:highlight w:val="none"/>
          <w:lang w:val="zh-CN"/>
        </w:rPr>
        <w:sectPr>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cs="宋体"/>
          <w:color w:val="auto"/>
          <w:sz w:val="28"/>
          <w:szCs w:val="28"/>
          <w:highlight w:val="none"/>
          <w:lang w:val="zh-CN"/>
        </w:rPr>
        <w:br w:type="page" w:clear="all"/>
      </w:r>
      <w:r/>
    </w:p>
    <w:p>
      <w:pPr>
        <w:rPr>
          <w:rFonts w:hint="eastAsia" w:ascii="宋体" w:hAnsi="宋体" w:cs="宋体"/>
          <w:bCs/>
          <w:color w:val="auto"/>
          <w:sz w:val="32"/>
          <w:szCs w:val="32"/>
          <w:highlight w:val="none"/>
          <w:lang w:val="en-US" w:eastAsia="zh-CN"/>
        </w:rPr>
      </w:pPr>
      <w:r>
        <w:rPr>
          <w:rFonts w:hint="eastAsia" w:ascii="宋体" w:hAnsi="宋体" w:cs="宋体"/>
          <w:bCs/>
          <w:color w:val="auto"/>
          <w:sz w:val="32"/>
          <w:szCs w:val="32"/>
          <w:highlight w:val="none"/>
          <w:lang w:val="en-US" w:eastAsia="zh-CN"/>
        </w:rPr>
        <w:t xml:space="preserve">附件5</w:t>
      </w:r>
      <w:r/>
    </w:p>
    <w:p>
      <w:pPr>
        <w:rPr>
          <w:rFonts w:hint="eastAsia" w:ascii="宋体" w:hAnsi="宋体" w:cs="宋体"/>
          <w:bCs/>
          <w:color w:val="auto"/>
          <w:sz w:val="32"/>
          <w:szCs w:val="32"/>
          <w:highlight w:val="none"/>
          <w:lang w:val="en-US" w:eastAsia="zh-CN"/>
        </w:rPr>
      </w:pPr>
      <w:r>
        <w:rPr>
          <w:rFonts w:hint="eastAsia" w:ascii="宋体" w:hAnsi="宋体" w:cs="宋体"/>
          <w:bCs/>
          <w:color w:val="auto"/>
          <w:sz w:val="32"/>
          <w:szCs w:val="32"/>
          <w:highlight w:val="none"/>
          <w:lang w:val="en-US" w:eastAsia="zh-CN"/>
        </w:rPr>
      </w:r>
      <w:r/>
    </w:p>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cs="宋体"/>
          <w:bCs/>
          <w:color w:val="auto"/>
          <w:sz w:val="28"/>
          <w:szCs w:val="28"/>
          <w:highlight w:val="none"/>
        </w:rPr>
        <w:t xml:space="preserve">技术</w:t>
      </w:r>
      <w:r>
        <w:rPr>
          <w:rFonts w:hint="eastAsia" w:ascii="宋体" w:hAnsi="宋体" w:cs="宋体"/>
          <w:bCs/>
          <w:color w:val="auto"/>
          <w:sz w:val="28"/>
          <w:szCs w:val="28"/>
          <w:highlight w:val="none"/>
          <w:lang w:val="zh-CN"/>
        </w:rPr>
        <w:t xml:space="preserve">部分正负偏离表</w:t>
      </w:r>
      <w:r>
        <w:rPr>
          <w:rFonts w:hint="eastAsia" w:ascii="宋体" w:hAnsi="宋体" w:cs="宋体"/>
          <w:bCs/>
          <w:color w:val="auto"/>
          <w:sz w:val="28"/>
          <w:szCs w:val="28"/>
          <w:highlight w:val="none"/>
          <w:lang w:val="en-US" w:eastAsia="zh-CN"/>
        </w:rPr>
        <w:t xml:space="preserve">(带“▲”项）</w:t>
      </w:r>
      <w:r/>
    </w:p>
    <w:tbl>
      <w:tblPr>
        <w:tblStyle w:val="712"/>
        <w:tblpPr w:horzAnchor="text" w:tblpXSpec="center" w:vertAnchor="text" w:tblpY="1" w:leftFromText="180" w:topFromText="0" w:rightFromText="180" w:bottomFromText="0"/>
        <w:tblW w:w="9396" w:type="dxa"/>
        <w:tblInd w:w="-15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0"/>
        <w:gridCol w:w="4184"/>
        <w:gridCol w:w="2988"/>
        <w:gridCol w:w="1594"/>
      </w:tblGrid>
      <w:tr>
        <w:trPr/>
        <w:tc>
          <w:tcPr>
            <w:tcW w:w="63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4184"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技术要求</w:t>
            </w:r>
            <w:r/>
          </w:p>
        </w:tc>
        <w:tc>
          <w:tcPr>
            <w:tcW w:w="2988"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1594"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trHeight w:val="640"/>
        </w:trPr>
        <w:tc>
          <w:tcPr>
            <w:tcW w:w="630"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810"/>
        </w:trPr>
        <w:tc>
          <w:tcPr>
            <w:tcW w:w="630"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360"/>
        </w:trPr>
        <w:tc>
          <w:tcPr>
            <w:tcW w:w="630"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640"/>
        </w:trPr>
        <w:tc>
          <w:tcPr>
            <w:tcW w:w="630"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630" w:type="dxa"/>
            <w:vAlign w:val="center"/>
            <w:textDirection w:val="lrTb"/>
            <w:noWrap w:val="false"/>
          </w:tcPr>
          <w:p>
            <w:pPr>
              <w:jc w:val="center"/>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63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630" w:type="dxa"/>
            <w:vAlign w:val="center"/>
            <w:textDirection w:val="lrTb"/>
            <w:noWrap w:val="false"/>
          </w:tcPr>
          <w:p>
            <w:pPr>
              <w:jc w:val="center"/>
              <w:keepLines w:val="0"/>
              <w:keepNext w:val="0"/>
              <w:pageBreakBefore w:val="0"/>
              <w:spacing w:line="3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630" w:type="dxa"/>
            <w:vAlign w:val="center"/>
            <w:textDirection w:val="lrTb"/>
            <w:noWrap w:val="false"/>
          </w:tcPr>
          <w:p>
            <w:pPr>
              <w:jc w:val="center"/>
              <w:keepLines w:val="0"/>
              <w:keepNext w:val="0"/>
              <w:pageBreakBefore w:val="0"/>
              <w:spacing w:line="3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630" w:type="dxa"/>
            <w:vAlign w:val="center"/>
            <w:textDirection w:val="lrTb"/>
            <w:noWrap w:val="false"/>
          </w:tcPr>
          <w:p>
            <w:pPr>
              <w:jc w:val="center"/>
              <w:keepLines w:val="0"/>
              <w:keepNext w:val="0"/>
              <w:pageBreakBefore w:val="0"/>
              <w:spacing w:line="3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trHeight w:val="465"/>
        </w:trPr>
        <w:tc>
          <w:tcPr>
            <w:tcW w:w="630" w:type="dxa"/>
            <w:vAlign w:val="center"/>
            <w:textDirection w:val="lrTb"/>
            <w:noWrap w:val="false"/>
          </w:tcPr>
          <w:p>
            <w:pPr>
              <w:jc w:val="center"/>
              <w:keepLines w:val="0"/>
              <w:keepNext w:val="0"/>
              <w:pageBreakBefore w:val="0"/>
              <w:spacing w:line="3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4184" w:type="dxa"/>
            <w:textDirection w:val="lrTb"/>
            <w:noWrap w:val="false"/>
          </w:tcPr>
          <w:p>
            <w:pPr>
              <w:jc w:val="lef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2988"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594" w:type="dxa"/>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bl>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1.投标人需对技术要求逐条做出明确响应。</w:t>
      </w:r>
      <w:r/>
    </w:p>
    <w:p>
      <w:pPr>
        <w:spacing w:line="400" w:lineRule="exact"/>
        <w:rPr>
          <w:rFonts w:hint="default" w:ascii="宋体" w:hAnsi="宋体" w:cs="宋体"/>
          <w:bCs/>
          <w:color w:val="auto"/>
          <w:sz w:val="32"/>
          <w:szCs w:val="32"/>
          <w:highlight w:val="none"/>
          <w:lang w:val="en-US" w:eastAsia="zh-CN"/>
        </w:rPr>
        <w:sectPr>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cs="宋体"/>
          <w:color w:val="auto"/>
          <w:sz w:val="28"/>
          <w:szCs w:val="28"/>
          <w:highlight w:val="none"/>
        </w:rPr>
        <w:t xml:space="preserve">2.如果招标文件要求提供证明材料，投标人需将证明材料列于该表之下</w:t>
      </w:r>
      <w:r>
        <w:rPr>
          <w:rFonts w:hint="eastAsia" w:ascii="宋体" w:hAnsi="宋体" w:cs="宋体"/>
          <w:color w:val="auto"/>
          <w:sz w:val="28"/>
          <w:szCs w:val="28"/>
          <w:highlight w:val="none"/>
          <w:lang w:val="en-US" w:eastAsia="zh-CN"/>
        </w:rPr>
        <w:t xml:space="preserve">(按要求提供承诺函）</w:t>
      </w:r>
      <w:r>
        <w:rPr>
          <w:rFonts w:hint="eastAsia" w:ascii="宋体" w:hAnsi="宋体" w:cs="宋体"/>
          <w:color w:val="auto"/>
          <w:sz w:val="28"/>
          <w:szCs w:val="28"/>
          <w:highlight w:val="none"/>
        </w:rPr>
        <w:t xml:space="preserve">。</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eastAsia="宋体" w:cs="宋体"/>
          <w:b/>
          <w:bCs/>
          <w:color w:val="auto"/>
          <w:sz w:val="28"/>
          <w:szCs w:val="28"/>
          <w:highlight w:val="none"/>
          <w:lang w:eastAsia="zh-CN" w:bidi="zh-CN"/>
        </w:rPr>
      </w:pPr>
      <w:r>
        <w:rPr>
          <w:rFonts w:hint="eastAsia" w:ascii="宋体" w:hAnsi="宋体" w:cs="宋体"/>
          <w:bCs/>
          <w:color w:val="auto"/>
          <w:sz w:val="32"/>
          <w:szCs w:val="32"/>
          <w:highlight w:val="none"/>
        </w:rPr>
        <w:t xml:space="preserve">附件</w:t>
      </w:r>
      <w:r>
        <w:rPr>
          <w:rFonts w:hint="eastAsia" w:ascii="宋体" w:hAnsi="宋体" w:cs="宋体"/>
          <w:bCs/>
          <w:color w:val="auto"/>
          <w:sz w:val="32"/>
          <w:szCs w:val="32"/>
          <w:highlight w:val="none"/>
          <w:lang w:val="en-US" w:eastAsia="zh-CN"/>
        </w:rPr>
        <w:t xml:space="preserve">6</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投标人信用承诺书</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二、严格依照国家和省、市、县关于政府采购等方面的法律、法规、规章、规范性文件，参加招标投标活动；积极履行社会责任，促进廉政建设；</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四、自我约束、自我管理，守合同、重信用，不参与围标串标、弄虚作假、骗取中标、干扰评标、违约毁约、恶意投诉等行为，主动维护招标投标的良好秩序；</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firstLine="482"/>
        <w:spacing w:line="360" w:lineRule="auto"/>
        <w:rPr>
          <w:rFonts w:ascii="宋体" w:hAnsi="宋体" w:cs="宋体"/>
          <w:color w:val="auto"/>
          <w:sz w:val="24"/>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360" w:lineRule="auto"/>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（加盖ca签章）</w:t>
      </w:r>
      <w:r>
        <w:rPr>
          <w:rFonts w:hint="eastAsia" w:ascii="宋体" w:hAnsi="宋体" w:cs="宋体"/>
          <w:color w:val="auto"/>
          <w:sz w:val="28"/>
          <w:szCs w:val="28"/>
          <w:highlight w:val="none"/>
          <w:lang w:val="zh-CN"/>
        </w:rPr>
        <w:t xml:space="preserve">：</w:t>
      </w:r>
      <w:r/>
    </w:p>
    <w:p>
      <w:pPr>
        <w:ind w:firstLine="3080"/>
        <w:spacing w:line="360" w:lineRule="auto"/>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w:t>
      </w:r>
      <w:r>
        <w:rPr>
          <w:rFonts w:hint="eastAsia" w:ascii="宋体" w:hAnsi="宋体" w:cs="宋体"/>
          <w:color w:val="auto"/>
          <w:sz w:val="28"/>
          <w:szCs w:val="28"/>
          <w:highlight w:val="none"/>
        </w:rPr>
        <w:t xml:space="preserve">（签字或加盖ca签章）</w:t>
      </w:r>
      <w:r>
        <w:rPr>
          <w:rFonts w:hint="eastAsia" w:ascii="宋体" w:hAnsi="宋体" w:cs="宋体"/>
          <w:color w:val="auto"/>
          <w:sz w:val="28"/>
          <w:szCs w:val="28"/>
          <w:highlight w:val="none"/>
          <w:lang w:val="zh-CN"/>
        </w:rPr>
        <w:t xml:space="preserve">：</w:t>
      </w:r>
      <w:r/>
    </w:p>
    <w:p>
      <w:pPr>
        <w:ind w:firstLine="3080"/>
        <w:spacing w:line="360" w:lineRule="auto"/>
        <w:rPr>
          <w:rFonts w:ascii="宋体" w:hAnsi="宋体" w:cs="宋体"/>
          <w:color w:val="auto"/>
          <w:sz w:val="32"/>
          <w:szCs w:val="32"/>
          <w:highlight w:val="none"/>
          <w:lang w:val="zh-CN"/>
        </w:rPr>
      </w:pPr>
      <w:r>
        <w:rPr>
          <w:rFonts w:hint="eastAsia" w:ascii="宋体" w:hAnsi="宋体" w:cs="宋体"/>
          <w:color w:val="auto"/>
          <w:sz w:val="28"/>
          <w:szCs w:val="28"/>
          <w:highlight w:val="none"/>
          <w:lang w:val="zh-CN"/>
        </w:rPr>
        <w:t xml:space="preserve">时间：  年  月   日</w:t>
      </w:r>
      <w:r>
        <w:rPr>
          <w:rFonts w:hint="eastAsia" w:ascii="宋体" w:hAnsi="宋体" w:cs="宋体"/>
          <w:color w:val="auto"/>
          <w:sz w:val="32"/>
          <w:szCs w:val="32"/>
          <w:highlight w:val="none"/>
          <w:lang w:val="zh-CN"/>
        </w:rPr>
        <w:br w:type="page" w:clear="all"/>
      </w:r>
      <w:r/>
    </w:p>
    <w:p>
      <w:pPr>
        <w:rPr>
          <w:rFonts w:hint="eastAsia" w:ascii="宋体" w:hAnsi="宋体" w:eastAsia="宋体" w:cs="宋体"/>
          <w:color w:val="auto"/>
          <w:highlight w:val="none"/>
          <w:lang w:val="zh-CN"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投标人符合《中华人民共和国政府采购法》第二十二条规定条件的声明函</w:t>
      </w:r>
      <w:r/>
    </w:p>
    <w:p>
      <w:pPr>
        <w:spacing w:line="46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ind w:firstLine="480"/>
        <w:spacing w:line="520" w:lineRule="exact"/>
        <w:rPr>
          <w:rFonts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482"/>
        <w:spacing w:line="52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p>
    <w:p>
      <w:pPr>
        <w:ind w:firstLine="482"/>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（加盖ca签章）</w:t>
      </w:r>
      <w:r>
        <w:rPr>
          <w:rFonts w:hint="eastAsia" w:ascii="宋体" w:hAnsi="宋体" w:cs="宋体"/>
          <w:bCs/>
          <w:color w:val="auto"/>
          <w:sz w:val="28"/>
          <w:szCs w:val="28"/>
          <w:highlight w:val="none"/>
        </w:rPr>
        <w:t xml:space="preserve">：</w:t>
      </w:r>
      <w:r/>
    </w:p>
    <w:p>
      <w:pPr>
        <w:jc w:val="right"/>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right"/>
        <w:spacing w:line="460" w:lineRule="exact"/>
        <w:rPr>
          <w:rFonts w:ascii="宋体" w:hAnsi="宋体" w:cs="宋体"/>
          <w:color w:val="auto"/>
          <w:szCs w:val="21"/>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日</w:t>
      </w:r>
      <w:r/>
    </w:p>
    <w:p>
      <w:pPr>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法定代表人身份证明</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职务，为法定代表人，特此证明。</w:t>
      </w:r>
      <w:r/>
    </w:p>
    <w:p>
      <w:pPr>
        <w:ind w:firstLine="480"/>
        <w:spacing w:line="48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rPr>
          <w:rFonts w:hint="eastAsia" w:ascii="宋体" w:hAnsi="宋体" w:cs="宋体"/>
          <w:color w:val="auto"/>
          <w:sz w:val="28"/>
          <w:szCs w:val="28"/>
          <w:highlight w:val="none"/>
          <w:u w:val="single"/>
        </w:rPr>
        <w:t xml:space="preserve">                                               </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55"/>
        <w:spacing w:line="6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9</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授权单位法定代表人（签字或盖章或电子签章）：-----</w:t>
      </w:r>
      <w:r/>
    </w:p>
    <w:p>
      <w:pPr>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contextualSpacing/>
        <w:ind w:firstLine="540"/>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40"/>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789"/>
        <w:ind w:firstLine="560"/>
        <w:rPr>
          <w:rFonts w:ascii="宋体" w:hAnsi="宋体" w:cs="宋体"/>
          <w:color w:val="auto"/>
          <w:highlight w:val="none"/>
        </w:rPr>
      </w:pPr>
      <w:r>
        <w:rPr>
          <w:rFonts w:ascii="宋体" w:hAnsi="宋体" w:cs="宋体"/>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contextualSpacing/>
        <w:spacing w:line="300" w:lineRule="auto"/>
        <w:rPr>
          <w:rFonts w:ascii="宋体" w:hAnsi="宋体" w:cs="宋体"/>
          <w:color w:val="auto"/>
          <w:sz w:val="28"/>
          <w:szCs w:val="28"/>
          <w:highlight w:val="none"/>
        </w:rPr>
      </w:pPr>
      <w:r>
        <w:rPr>
          <w:rFonts w:hint="eastAsia" w:ascii="宋体" w:hAnsi="宋体" w:cs="宋体"/>
          <w:color w:val="auto"/>
          <w:sz w:val="32"/>
          <w:szCs w:val="32"/>
          <w:highlight w:val="none"/>
        </w:rPr>
        <w:br w:type="page" w:clear="all"/>
      </w:r>
      <w:r/>
    </w:p>
    <w:p>
      <w:pPr>
        <w:contextualSpacing/>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ind w:firstLine="562"/>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2020</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46号)的规定，本公司（联合体）参加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（采购单位名称）</w:t>
      </w:r>
      <w:r>
        <w:rPr>
          <w:rFonts w:hint="eastAsia" w:ascii="仿宋" w:hAnsi="仿宋" w:eastAsia="仿宋"/>
          <w:color w:val="auto"/>
          <w:sz w:val="28"/>
          <w:szCs w:val="28"/>
          <w:highlight w:val="none"/>
        </w:rPr>
        <w:t xml:space="preserve">采购编号为</w:t>
      </w:r>
      <w:r>
        <w:rPr>
          <w:rFonts w:eastAsia="仿宋"/>
          <w:bCs/>
          <w:color w:val="auto"/>
          <w:sz w:val="28"/>
          <w:szCs w:val="22"/>
          <w:highlight w:val="none"/>
          <w:u w:val="single"/>
        </w:rPr>
        <w:t xml:space="preserve">  </w:t>
      </w:r>
      <w:r>
        <w:rPr>
          <w:rFonts w:hint="eastAsia" w:eastAsia="仿宋"/>
          <w:bCs/>
          <w:color w:val="auto"/>
          <w:sz w:val="28"/>
          <w:szCs w:val="22"/>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（项目名称）  </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2011</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300号)的规定，相关企业（含联合体中的中小微企业、签订分包意向协议的中小微企业）的具体情况如下：</w:t>
      </w:r>
      <w:r/>
    </w:p>
    <w:p>
      <w:pPr>
        <w:ind w:firstLine="562"/>
        <w:spacing w:line="460" w:lineRule="exact"/>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single"/>
        </w:rPr>
        <w:t xml:space="preserve">（智能存储架）</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工业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562"/>
        <w:spacing w:line="460" w:lineRule="exact"/>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u w:val="single"/>
        </w:rPr>
        <w:t xml:space="preserve">（蜡片柜）</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工业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562"/>
        <w:spacing w:line="460" w:lineRule="exact"/>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（切片柜）</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工业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（蜡片柜、切片柜专用转运车）</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工业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562"/>
        <w:jc w:val="right"/>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企业名称（加盖公章）：</w:t>
      </w:r>
      <w:r/>
    </w:p>
    <w:p>
      <w:pPr>
        <w:ind w:right="480" w:firstLine="5507"/>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82"/>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备注：</w:t>
      </w:r>
      <w:r/>
    </w:p>
    <w:p>
      <w:pPr>
        <w:ind w:firstLine="482"/>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1.从业人员、营业收入、资产总额填报上一年度数据，无上一年度数据的新成立企业可不填报。</w:t>
      </w:r>
      <w:r/>
    </w:p>
    <w:p>
      <w:pPr>
        <w:ind w:firstLine="482"/>
        <w:spacing w:line="460" w:lineRule="exact"/>
        <w:rPr>
          <w:rFonts w:hint="eastAsia" w:ascii="仿宋" w:hAnsi="仿宋" w:eastAsia="仿宋"/>
          <w:b/>
          <w:color w:val="auto"/>
          <w:sz w:val="24"/>
          <w:highlight w:val="none"/>
        </w:rPr>
      </w:pPr>
      <w:r>
        <w:rPr>
          <w:rFonts w:hint="eastAsia" w:ascii="仿宋" w:hAnsi="仿宋" w:eastAsia="仿宋"/>
          <w:b/>
          <w:color w:val="auto"/>
          <w:sz w:val="24"/>
          <w:highlight w:val="none"/>
        </w:rPr>
        <w:t xml:space="preserve">2.专门</w:t>
      </w:r>
      <w:r>
        <w:rPr>
          <w:rFonts w:ascii="仿宋" w:hAnsi="仿宋" w:eastAsia="仿宋"/>
          <w:b/>
          <w:color w:val="auto"/>
          <w:sz w:val="24"/>
          <w:highlight w:val="none"/>
        </w:rPr>
        <w:t xml:space="preserve">面向中小微型企业</w:t>
      </w:r>
      <w:r>
        <w:rPr>
          <w:rFonts w:hint="eastAsia" w:ascii="仿宋" w:hAnsi="仿宋" w:eastAsia="仿宋"/>
          <w:b/>
          <w:color w:val="auto"/>
          <w:sz w:val="24"/>
          <w:highlight w:val="none"/>
        </w:rPr>
        <w:t xml:space="preserve">采购</w:t>
      </w:r>
      <w:r>
        <w:rPr>
          <w:rFonts w:ascii="仿宋" w:hAnsi="仿宋" w:eastAsia="仿宋"/>
          <w:b/>
          <w:color w:val="auto"/>
          <w:sz w:val="24"/>
          <w:highlight w:val="none"/>
        </w:rPr>
        <w:t xml:space="preserve">的项目，</w:t>
      </w:r>
      <w:r>
        <w:rPr>
          <w:rFonts w:hint="eastAsia" w:ascii="仿宋" w:hAnsi="仿宋" w:eastAsia="仿宋"/>
          <w:b/>
          <w:color w:val="auto"/>
          <w:sz w:val="24"/>
          <w:highlight w:val="none"/>
        </w:rPr>
        <w:t xml:space="preserve">供应商如不提供此声明函，则</w:t>
      </w:r>
      <w:r>
        <w:rPr>
          <w:rFonts w:ascii="仿宋" w:hAnsi="仿宋" w:eastAsia="仿宋"/>
          <w:b/>
          <w:color w:val="auto"/>
          <w:sz w:val="24"/>
          <w:highlight w:val="none"/>
        </w:rPr>
        <w:t xml:space="preserve">不能通过资格审查；</w:t>
      </w:r>
      <w:r>
        <w:rPr>
          <w:rFonts w:hint="eastAsia" w:ascii="仿宋" w:hAnsi="仿宋" w:eastAsia="仿宋"/>
          <w:b/>
          <w:color w:val="auto"/>
          <w:sz w:val="24"/>
          <w:highlight w:val="none"/>
        </w:rPr>
        <w:t xml:space="preserve">非专门</w:t>
      </w:r>
      <w:r>
        <w:rPr>
          <w:rFonts w:ascii="仿宋" w:hAnsi="仿宋" w:eastAsia="仿宋"/>
          <w:b/>
          <w:color w:val="auto"/>
          <w:sz w:val="24"/>
          <w:highlight w:val="none"/>
        </w:rPr>
        <w:t xml:space="preserve">面向中小微型企业</w:t>
      </w:r>
      <w:r>
        <w:rPr>
          <w:rFonts w:hint="eastAsia" w:ascii="仿宋" w:hAnsi="仿宋" w:eastAsia="仿宋"/>
          <w:b/>
          <w:color w:val="auto"/>
          <w:sz w:val="24"/>
          <w:highlight w:val="none"/>
        </w:rPr>
        <w:t xml:space="preserve">采购</w:t>
      </w:r>
      <w:r>
        <w:rPr>
          <w:rFonts w:ascii="仿宋" w:hAnsi="仿宋" w:eastAsia="仿宋"/>
          <w:b/>
          <w:color w:val="auto"/>
          <w:sz w:val="24"/>
          <w:highlight w:val="none"/>
        </w:rPr>
        <w:t xml:space="preserve">的项目，</w:t>
      </w:r>
      <w:r>
        <w:rPr>
          <w:rFonts w:hint="eastAsia" w:ascii="仿宋" w:hAnsi="仿宋" w:eastAsia="仿宋"/>
          <w:b/>
          <w:color w:val="auto"/>
          <w:sz w:val="24"/>
          <w:highlight w:val="none"/>
        </w:rPr>
        <w:t xml:space="preserve">供应商如不提供此声明函，价格将不做相应扣除。</w:t>
      </w:r>
      <w:r/>
    </w:p>
    <w:p>
      <w:pPr>
        <w:ind w:left="561" w:firstLine="482"/>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3.供应商</w:t>
      </w:r>
      <w:r>
        <w:rPr>
          <w:rFonts w:ascii="仿宋" w:hAnsi="仿宋" w:eastAsia="仿宋"/>
          <w:color w:val="auto"/>
          <w:sz w:val="24"/>
          <w:highlight w:val="none"/>
        </w:rPr>
        <w:t xml:space="preserve">自行勾选</w:t>
      </w:r>
      <w:r>
        <w:rPr>
          <w:rFonts w:hint="eastAsia" w:ascii="仿宋" w:hAnsi="仿宋" w:eastAsia="仿宋"/>
          <w:color w:val="auto"/>
          <w:sz w:val="24"/>
          <w:highlight w:val="none"/>
        </w:rPr>
        <w:t xml:space="preserve">制造商</w:t>
      </w:r>
      <w:r>
        <w:rPr>
          <w:rFonts w:ascii="仿宋" w:hAnsi="仿宋" w:eastAsia="仿宋"/>
          <w:color w:val="auto"/>
          <w:sz w:val="24"/>
          <w:highlight w:val="none"/>
        </w:rPr>
        <w:t xml:space="preserve">的企业</w:t>
      </w:r>
      <w:r>
        <w:rPr>
          <w:rFonts w:hint="eastAsia" w:ascii="仿宋" w:hAnsi="仿宋" w:eastAsia="仿宋"/>
          <w:color w:val="auto"/>
          <w:sz w:val="24"/>
          <w:highlight w:val="none"/>
        </w:rPr>
        <w:t xml:space="preserve">规模类型</w:t>
      </w:r>
      <w:r>
        <w:rPr>
          <w:rFonts w:ascii="仿宋" w:hAnsi="仿宋" w:eastAsia="仿宋"/>
          <w:color w:val="auto"/>
          <w:sz w:val="24"/>
          <w:highlight w:val="none"/>
        </w:rPr>
        <w:t xml:space="preserve">。</w:t>
      </w:r>
      <w:r/>
    </w:p>
    <w:p>
      <w:pPr>
        <w:ind w:firstLine="562"/>
        <w:spacing w:line="360" w:lineRule="auto"/>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11</w:t>
      </w:r>
      <w:r/>
    </w:p>
    <w:p>
      <w:pPr>
        <w:ind w:left="561" w:firstLine="562"/>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w:t>
      </w:r>
      <w:r>
        <w:rPr>
          <w:rFonts w:hint="eastAsia" w:ascii="仿宋" w:hAnsi="仿宋" w:eastAsia="仿宋"/>
          <w:color w:val="auto"/>
          <w:sz w:val="28"/>
          <w:szCs w:val="28"/>
          <w:highlight w:val="none"/>
          <w:u w:val="single"/>
        </w:rPr>
        <w:t xml:space="preserve">_           _</w:t>
      </w:r>
      <w:r>
        <w:rPr>
          <w:rFonts w:hint="eastAsia" w:ascii="仿宋" w:hAnsi="仿宋" w:eastAsia="仿宋"/>
          <w:color w:val="auto"/>
          <w:sz w:val="28"/>
          <w:szCs w:val="28"/>
          <w:highlight w:val="none"/>
        </w:rPr>
        <w:t xml:space="preserve">__单位的采购文件编号为</w:t>
      </w:r>
      <w:r>
        <w:rPr>
          <w:rFonts w:eastAsia="仿宋"/>
          <w:bCs/>
          <w:color w:val="auto"/>
          <w:sz w:val="28"/>
          <w:szCs w:val="22"/>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2"/>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82"/>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备注：</w:t>
      </w:r>
      <w:r/>
    </w:p>
    <w:p>
      <w:pPr>
        <w:ind w:firstLine="482"/>
        <w:spacing w:line="460" w:lineRule="exact"/>
        <w:rPr>
          <w:rFonts w:hint="eastAsia" w:ascii="仿宋" w:hAnsi="仿宋" w:eastAsia="仿宋"/>
          <w:b/>
          <w:color w:val="auto"/>
          <w:sz w:val="24"/>
          <w:highlight w:val="none"/>
        </w:rPr>
      </w:pPr>
      <w:r>
        <w:rPr>
          <w:rFonts w:hint="eastAsia" w:ascii="仿宋" w:hAnsi="仿宋" w:eastAsia="仿宋"/>
          <w:b/>
          <w:color w:val="auto"/>
          <w:sz w:val="24"/>
          <w:highlight w:val="none"/>
        </w:rPr>
        <w:t xml:space="preserve">1</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专门面向中小微型企业采购的</w:t>
      </w:r>
      <w:r>
        <w:rPr>
          <w:rFonts w:ascii="仿宋" w:hAnsi="仿宋" w:eastAsia="仿宋"/>
          <w:b/>
          <w:color w:val="auto"/>
          <w:sz w:val="24"/>
          <w:highlight w:val="none"/>
        </w:rPr>
        <w:t xml:space="preserve">项目</w:t>
      </w:r>
      <w:r>
        <w:rPr>
          <w:rFonts w:hint="eastAsia" w:ascii="仿宋" w:hAnsi="仿宋" w:eastAsia="仿宋"/>
          <w:b/>
          <w:color w:val="auto"/>
          <w:sz w:val="24"/>
          <w:highlight w:val="none"/>
        </w:rPr>
        <w:t xml:space="preserve">，供应商为残疾人福利性单位并提供本单位制造的货物，或者提供其他残疾人福利性单位制造的货物，必须提供此</w:t>
      </w:r>
      <w:r>
        <w:rPr>
          <w:rFonts w:ascii="仿宋" w:hAnsi="仿宋" w:eastAsia="仿宋"/>
          <w:b/>
          <w:color w:val="auto"/>
          <w:sz w:val="24"/>
          <w:highlight w:val="none"/>
        </w:rPr>
        <w:t xml:space="preserve">声明函</w:t>
      </w:r>
      <w:r>
        <w:rPr>
          <w:rFonts w:hint="eastAsia" w:ascii="仿宋" w:hAnsi="仿宋" w:eastAsia="仿宋"/>
          <w:b/>
          <w:color w:val="auto"/>
          <w:sz w:val="24"/>
          <w:highlight w:val="none"/>
        </w:rPr>
        <w:t xml:space="preserve">，</w:t>
      </w:r>
      <w:r>
        <w:rPr>
          <w:rFonts w:ascii="仿宋" w:hAnsi="仿宋" w:eastAsia="仿宋"/>
          <w:b/>
          <w:color w:val="auto"/>
          <w:sz w:val="24"/>
          <w:highlight w:val="none"/>
        </w:rPr>
        <w:t xml:space="preserve">否则将</w:t>
      </w:r>
      <w:r>
        <w:rPr>
          <w:rFonts w:hint="eastAsia" w:ascii="仿宋" w:hAnsi="仿宋" w:eastAsia="仿宋"/>
          <w:b/>
          <w:color w:val="auto"/>
          <w:sz w:val="24"/>
          <w:highlight w:val="none"/>
        </w:rPr>
        <w:t xml:space="preserve">不能</w:t>
      </w:r>
      <w:r>
        <w:rPr>
          <w:rFonts w:ascii="仿宋" w:hAnsi="仿宋" w:eastAsia="仿宋"/>
          <w:b/>
          <w:color w:val="auto"/>
          <w:sz w:val="24"/>
          <w:highlight w:val="none"/>
        </w:rPr>
        <w:t xml:space="preserve">通过资格审查</w:t>
      </w:r>
      <w:r>
        <w:rPr>
          <w:rFonts w:hint="eastAsia" w:ascii="仿宋" w:hAnsi="仿宋" w:eastAsia="仿宋"/>
          <w:b/>
          <w:color w:val="auto"/>
          <w:sz w:val="24"/>
          <w:highlight w:val="none"/>
        </w:rPr>
        <w:t xml:space="preserve">。</w:t>
      </w:r>
      <w:r/>
    </w:p>
    <w:p>
      <w:pPr>
        <w:ind w:firstLine="482"/>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 非专门面向中小微型企业采购的</w:t>
      </w:r>
      <w:r>
        <w:rPr>
          <w:rFonts w:ascii="仿宋" w:hAnsi="仿宋" w:eastAsia="仿宋"/>
          <w:color w:val="auto"/>
          <w:sz w:val="24"/>
          <w:highlight w:val="none"/>
        </w:rPr>
        <w:t xml:space="preserve">项目</w:t>
      </w:r>
      <w:r>
        <w:rPr>
          <w:rFonts w:hint="eastAsia" w:ascii="仿宋" w:hAnsi="仿宋" w:eastAsia="仿宋"/>
          <w:color w:val="auto"/>
          <w:sz w:val="24"/>
          <w:highlight w:val="none"/>
        </w:rPr>
        <w:t xml:space="preserve">，供应商如不提供此声明函，价格将不做相应扣除。</w:t>
      </w:r>
      <w:r/>
    </w:p>
    <w:p>
      <w:pPr>
        <w:ind w:firstLine="482"/>
        <w:spacing w:line="460" w:lineRule="exact"/>
        <w:rPr>
          <w:rFonts w:hint="eastAsia" w:ascii="仿宋" w:hAnsi="仿宋" w:eastAsia="仿宋"/>
          <w:color w:val="auto"/>
          <w:sz w:val="24"/>
          <w:highlight w:val="none"/>
        </w:rPr>
      </w:pPr>
      <w:r>
        <w:rPr>
          <w:rFonts w:ascii="仿宋" w:hAnsi="仿宋" w:eastAsia="仿宋"/>
          <w:color w:val="auto"/>
          <w:sz w:val="24"/>
          <w:highlight w:val="none"/>
        </w:rPr>
        <w:t xml:space="preserve">3</w:t>
      </w:r>
      <w:r>
        <w:rPr>
          <w:rFonts w:hint="eastAsia" w:ascii="仿宋" w:hAnsi="仿宋" w:eastAsia="仿宋"/>
          <w:color w:val="auto"/>
          <w:sz w:val="24"/>
          <w:highlight w:val="none"/>
        </w:rPr>
        <w:t xml:space="preserve">.中标/成交供应商为残疾人福利性单位的，此声明函将随中标/成交结果同时公告，接受社会监督。</w:t>
      </w:r>
      <w:r/>
    </w:p>
    <w:p>
      <w:pPr>
        <w:ind w:firstLine="586"/>
        <w:spacing w:line="360" w:lineRule="auto"/>
        <w:rPr>
          <w:rFonts w:hint="eastAsia" w:ascii="仿宋" w:hAnsi="仿宋" w:eastAsia="仿宋"/>
          <w:color w:val="auto"/>
          <w:spacing w:val="6"/>
          <w:sz w:val="28"/>
          <w:szCs w:val="28"/>
          <w:highlight w:val="none"/>
        </w:rPr>
      </w:pPr>
      <w:r>
        <w:rPr>
          <w:rFonts w:hint="eastAsia" w:ascii="仿宋" w:hAnsi="仿宋" w:eastAsia="仿宋"/>
          <w:color w:val="auto"/>
          <w:spacing w:val="6"/>
          <w:sz w:val="28"/>
          <w:szCs w:val="28"/>
          <w:highlight w:val="none"/>
        </w:rPr>
      </w:r>
      <w:r/>
    </w:p>
    <w:p>
      <w:pPr>
        <w:pStyle w:val="992"/>
        <w:ind w:firstLine="602"/>
        <w:rPr>
          <w:color w:val="auto"/>
          <w:highlight w:val="none"/>
          <w:lang w:eastAsia="zh-CN"/>
        </w:rPr>
      </w:pPr>
      <w:r>
        <w:rPr>
          <w:color w:val="auto"/>
          <w:highlight w:val="none"/>
          <w:lang w:eastAsia="zh-CN"/>
        </w:rPr>
      </w:r>
      <w:r/>
    </w:p>
    <w:p>
      <w:pPr>
        <w:pStyle w:val="992"/>
        <w:ind w:firstLine="602"/>
        <w:rPr>
          <w:color w:val="auto"/>
          <w:highlight w:val="none"/>
          <w:lang w:eastAsia="zh-CN"/>
        </w:rPr>
      </w:pPr>
      <w:r>
        <w:rPr>
          <w:color w:val="auto"/>
          <w:highlight w:val="none"/>
          <w:lang w:eastAsia="zh-CN"/>
        </w:rPr>
      </w:r>
      <w:r/>
    </w:p>
    <w:p>
      <w:pPr>
        <w:ind w:right="1559" w:firstLine="586"/>
        <w:jc w:val="right"/>
        <w:spacing w:line="360" w:lineRule="auto"/>
        <w:tabs>
          <w:tab w:val="left" w:pos="4860" w:leader="none"/>
        </w:tabs>
        <w:rPr>
          <w:rFonts w:hint="eastAsia"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供应商全称（加盖公章）：</w:t>
      </w:r>
      <w:r/>
    </w:p>
    <w:p>
      <w:pPr>
        <w:ind w:right="1559" w:firstLine="562"/>
        <w:jc w:val="right"/>
        <w:spacing w:line="360" w:lineRule="auto"/>
        <w:tabs>
          <w:tab w:val="left" w:pos="4860" w:leader="none"/>
        </w:tabs>
        <w:rPr>
          <w:color w:val="auto"/>
          <w:highlight w:val="none"/>
        </w:rPr>
      </w:pPr>
      <w:r>
        <w:rPr>
          <w:rFonts w:hint="eastAsia" w:ascii="仿宋" w:hAnsi="仿宋" w:eastAsia="仿宋"/>
          <w:color w:val="auto"/>
          <w:sz w:val="28"/>
          <w:szCs w:val="28"/>
          <w:highlight w:val="none"/>
        </w:rPr>
        <w:t xml:space="preserve">        日  期：</w:t>
      </w:r>
      <w:r/>
    </w:p>
    <w:p>
      <w:pPr>
        <w:ind w:right="1559" w:firstLine="562"/>
        <w:spacing w:line="360" w:lineRule="auto"/>
        <w:tabs>
          <w:tab w:val="left" w:pos="4860" w:leader="none"/>
        </w:tabs>
        <w:rPr>
          <w:color w:val="auto"/>
          <w:highlight w:val="none"/>
        </w:rPr>
      </w:pPr>
      <w:r>
        <w:rPr>
          <w:color w:val="auto"/>
          <w:highlight w:val="none"/>
        </w:rPr>
      </w:r>
      <w:r/>
    </w:p>
    <w:p>
      <w:pPr>
        <w:pStyle w:val="787"/>
        <w:ind w:firstLine="64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87"/>
        <w:ind w:firstLine="64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87"/>
        <w:ind w:firstLine="64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562"/>
        <w:jc w:val="right"/>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                     </w:t>
      </w:r>
      <w:r/>
    </w:p>
    <w:p>
      <w:pPr>
        <w:ind w:firstLine="643"/>
        <w:spacing w:line="300" w:lineRule="auto"/>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2</w:t>
      </w:r>
      <w:r/>
    </w:p>
    <w:p>
      <w:pPr>
        <w:ind w:firstLine="643"/>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firstLine="562"/>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2"/>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562"/>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43"/>
        <w:spacing w:line="300" w:lineRule="auto"/>
        <w:rPr>
          <w:color w:val="auto"/>
          <w:highlight w:val="none"/>
          <w:lang w:val="zh-CN"/>
        </w:rPr>
        <w:outlineLvl w:val="0"/>
      </w:pPr>
      <w:r>
        <w:rPr>
          <w:rFonts w:hint="eastAsia" w:ascii="仿宋" w:hAnsi="仿宋" w:eastAsia="仿宋" w:cs="仿宋"/>
          <w:color w:val="auto"/>
          <w:sz w:val="32"/>
          <w:szCs w:val="32"/>
          <w:highlight w:val="none"/>
        </w:rPr>
        <w:br w:type="page" w:clear="all"/>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3</w:t>
      </w:r>
      <w:r/>
    </w:p>
    <w:p>
      <w:pPr>
        <w:jc w:val="center"/>
        <w:spacing w:line="300" w:lineRule="auto"/>
        <w:rPr>
          <w:rFonts w:ascii="宋体" w:hAnsi="宋体" w:cs="宋体"/>
          <w:b/>
          <w:bCs/>
          <w:color w:val="auto"/>
          <w:sz w:val="28"/>
          <w:szCs w:val="28"/>
          <w:highlight w:val="none"/>
          <w:lang w:val="zh-CN" w:bidi="zh-CN"/>
        </w:rPr>
        <w:outlineLvl w:val="0"/>
      </w:pPr>
      <w:r>
        <w:rPr>
          <w:rFonts w:hint="eastAsia" w:ascii="宋体" w:hAnsi="宋体" w:cs="宋体"/>
          <w:b/>
          <w:bCs/>
          <w:color w:val="auto"/>
          <w:sz w:val="28"/>
          <w:szCs w:val="28"/>
          <w:highlight w:val="none"/>
          <w:lang w:val="zh-CN" w:bidi="zh-CN"/>
        </w:rPr>
        <w:t xml:space="preserve">质疑函范本</w:t>
      </w:r>
      <w:r/>
    </w:p>
    <w:p>
      <w:pPr>
        <w:spacing w:before="312"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一、质疑投标人基本信息</w:t>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招标人名称：</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50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5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500" w:lineRule="exact"/>
        <w:rPr>
          <w:rFonts w:ascii="宋体" w:hAnsi="宋体" w:cs="宋体"/>
          <w:color w:val="auto"/>
          <w:sz w:val="30"/>
          <w:szCs w:val="30"/>
          <w:highlight w:val="none"/>
        </w:rPr>
      </w:pPr>
      <w:r>
        <w:rPr>
          <w:rFonts w:hint="eastAsia" w:ascii="宋体" w:hAnsi="宋体" w:cs="宋体"/>
          <w:color w:val="auto"/>
          <w:sz w:val="28"/>
          <w:szCs w:val="28"/>
          <w:highlight w:val="none"/>
        </w:rPr>
        <w:t xml:space="preserve">日期：  </w:t>
      </w:r>
      <w:r>
        <w:rPr>
          <w:rFonts w:hint="eastAsia" w:ascii="宋体" w:hAnsi="宋体" w:cs="宋体"/>
          <w:color w:val="auto"/>
          <w:sz w:val="30"/>
          <w:szCs w:val="30"/>
          <w:highlight w:val="none"/>
        </w:rPr>
        <w:t xml:space="preserve">  </w:t>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质疑函制作说明：</w:t>
      </w:r>
      <w:r/>
    </w:p>
    <w:p>
      <w:pPr>
        <w:ind w:firstLine="567"/>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1.投标人提出质疑时，应提交质疑函和必要的证明材料。</w:t>
      </w:r>
      <w:r/>
    </w:p>
    <w:p>
      <w:pPr>
        <w:ind w:firstLine="567"/>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7"/>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7"/>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7"/>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7"/>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7"/>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500" w:lineRule="exact"/>
        <w:rPr>
          <w:rFonts w:ascii="宋体" w:hAnsi="宋体" w:cs="宋体"/>
          <w:color w:val="auto"/>
          <w:sz w:val="44"/>
          <w:szCs w:val="44"/>
          <w:highlight w:val="none"/>
        </w:rPr>
      </w:pPr>
      <w:r>
        <w:rPr>
          <w:rFonts w:hint="eastAsia" w:ascii="宋体" w:hAnsi="宋体" w:cs="宋体"/>
          <w:color w:val="auto"/>
          <w:sz w:val="44"/>
          <w:szCs w:val="44"/>
          <w:highlight w:val="none"/>
        </w:rPr>
        <w:t xml:space="preserve">江苏中润工程建设咨询有限公司</w:t>
      </w:r>
      <w:r/>
    </w:p>
    <w:p>
      <w:pPr>
        <w:jc w:val="center"/>
        <w:spacing w:line="500" w:lineRule="exact"/>
        <w:rPr>
          <w:rFonts w:ascii="宋体" w:hAnsi="宋体" w:cs="宋体"/>
          <w:color w:val="auto"/>
          <w:sz w:val="30"/>
          <w:szCs w:val="30"/>
          <w:highlight w:val="none"/>
        </w:rPr>
      </w:pPr>
      <w:r>
        <w:rPr>
          <w:rFonts w:hint="eastAsia" w:ascii="宋体" w:hAnsi="宋体" w:cs="宋体"/>
          <w:color w:val="auto"/>
          <w:sz w:val="44"/>
          <w:szCs w:val="44"/>
          <w:highlight w:val="none"/>
        </w:rPr>
        <w:t xml:space="preserve">政府采购供应商友情提醒</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供应商在参与政府采购项目中的常见问题，现将有关常见问题提醒如下：</w:t>
      </w:r>
      <w:r/>
    </w:p>
    <w:p>
      <w:pPr>
        <w:ind w:firstLine="602"/>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一、如何参与政府采购项目？</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答：（1）潜在供应商如有意向参与本公司政府采购项目，必须按照以下方法进行操作，方可视为参与成功。</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（2）“CA数字证书”的办理材料以及供应商操作手册详见：</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http://www.ccgp-jiangsu.gov.cn/jiangsu/zlxz/ee/ee3a4bc5a3454aa2b0d9312230633ce9.html</w:t>
      </w:r>
      <w:r/>
    </w:p>
    <w:p>
      <w:pPr>
        <w:ind w:firstLine="602"/>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二、如何正确填写《中小企业声明函》？</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答：受中小企业扶持政策的供应商应当满足下列条件：在货物采购项目中，货物应当由中小企业</w:t>
      </w:r>
      <w:r>
        <w:rPr>
          <w:rFonts w:hint="eastAsia" w:ascii="宋体" w:hAnsi="宋体" w:cs="宋体"/>
          <w:b/>
          <w:bCs/>
          <w:color w:val="auto"/>
          <w:sz w:val="30"/>
          <w:szCs w:val="30"/>
          <w:highlight w:val="none"/>
        </w:rPr>
        <w:t xml:space="preserve">制造</w:t>
      </w:r>
      <w:r>
        <w:rPr>
          <w:rFonts w:hint="eastAsia" w:ascii="宋体" w:hAnsi="宋体" w:cs="宋体"/>
          <w:color w:val="auto"/>
          <w:sz w:val="30"/>
          <w:szCs w:val="30"/>
          <w:highlight w:val="none"/>
        </w:rPr>
        <w:t xml:space="preserve">，不对其中涉及的服务的承接商作出要求。货物类项目制造商在填写中小企业声明函时，需按照采购标的中的标的清单</w:t>
      </w:r>
      <w:r>
        <w:rPr>
          <w:rFonts w:hint="eastAsia" w:ascii="宋体" w:hAnsi="宋体" w:cs="宋体"/>
          <w:b/>
          <w:bCs/>
          <w:color w:val="auto"/>
          <w:sz w:val="30"/>
          <w:szCs w:val="30"/>
          <w:highlight w:val="none"/>
        </w:rPr>
        <w:t xml:space="preserve">逐项进行响应</w:t>
      </w:r>
      <w:r>
        <w:rPr>
          <w:rFonts w:hint="eastAsia" w:ascii="宋体" w:hAnsi="宋体" w:cs="宋体"/>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三、填写附件的时候有哪些需要注意的？</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四、报价时有哪些注意事项？</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此外，供应商最终报价出现下列情形之一的，评审委员会将启动异常低价投标（响应）审查程序：</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1.投标（响应）报价低于采购项目预算50%的，即投标（响应）报价&lt;采购项目预算×50%；</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2.投标（响应）报价低于采购项目最高限价45%的，即投标（响应）报价&lt;采购项目最高限价×45%；</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3.评审委员会认定的供应商报价过低、有可能影响产品质量或者不能诚信履约的其他情形。</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对报价异常低且经评审委员会启动相关审查机制后仍中标或成交的供应商，采购人将重点关注其履约能力、履约承诺、实际履约情况等。</w:t>
      </w:r>
      <w:r/>
    </w:p>
    <w:p>
      <w:pPr>
        <w:ind w:firstLine="602"/>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五、开评标过程中供应商的注意事项有哪些？</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六、评标结束后什么时候能查询结果？如何查询？</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答：对于采用公开招标或封闭式框架协议方式采购的项目，项目中标（入围）公告发布，参与供应商即可在“苏采云”系统中查看评审结果。</w:t>
      </w:r>
      <w:r/>
    </w:p>
    <w:p>
      <w:pPr>
        <w:ind w:firstLine="600"/>
        <w:spacing w:line="50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p>
    <w:p>
      <w:pPr>
        <w:rPr>
          <w:rFonts w:ascii="宋体" w:hAnsi="宋体" w:cs="宋体"/>
          <w:color w:val="auto"/>
          <w:highlight w:val="none"/>
        </w:rPr>
      </w:pPr>
      <w:r>
        <w:rPr>
          <w:rFonts w:ascii="宋体" w:hAnsi="宋体" w:cs="宋体"/>
          <w:color w:val="auto"/>
          <w:highlight w:val="none"/>
        </w:rPr>
      </w:r>
      <w:r/>
    </w:p>
    <w:p>
      <w:pPr>
        <w:jc w:val="left"/>
        <w:spacing w:line="46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999"/>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pStyle w:val="999"/>
        <w:rPr>
          <w:rFonts w:ascii="宋体" w:hAnsi="宋体" w:eastAsia="宋体" w:cs="宋体"/>
          <w:color w:val="auto"/>
          <w:sz w:val="32"/>
          <w:szCs w:val="32"/>
          <w:highlight w:val="none"/>
        </w:rPr>
      </w:pPr>
      <w:r>
        <w:rPr>
          <w:rFonts w:ascii="宋体" w:hAnsi="宋体" w:eastAsia="宋体" w:cs="宋体"/>
          <w:color w:val="auto"/>
          <w:sz w:val="32"/>
          <w:szCs w:val="32"/>
          <w:highlight w:val="none"/>
        </w:rPr>
      </w:r>
      <w:r/>
    </w:p>
    <w:sectPr>
      <w:footnotePr/>
      <w:endnotePr/>
      <w:type w:val="nextPage"/>
      <w:pgSz w:w="11906"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PMingLiU">
    <w:panose1 w:val="02020500000000000000"/>
  </w:font>
  <w:font w:name="华文细黑">
    <w:panose1 w:val="02010600040101010101"/>
  </w:font>
  <w:font w:name="新宋体">
    <w:panose1 w:val="02010609030101010101"/>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958"/>
      <w:spacing w:line="231"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790"/>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9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92"/>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9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94"/>
    <w:uiPriority w:val="9"/>
    <w:unhideWhenUsed/>
    <w:qFormat/>
    <w:pPr>
      <w:keepLines/>
      <w:keepNext/>
      <w:spacing w:before="320" w:after="200"/>
      <w:outlineLvl w:val="4"/>
    </w:pPr>
    <w:rPr>
      <w:rFonts w:ascii="Arial" w:hAnsi="Arial" w:eastAsia="Arial" w:cs="Arial"/>
      <w:b/>
      <w:bCs/>
      <w:sz w:val="24"/>
    </w:rPr>
  </w:style>
  <w:style w:type="paragraph" w:styleId="707">
    <w:name w:val="Heading 6"/>
    <w:basedOn w:val="701"/>
    <w:next w:val="701"/>
    <w:link w:val="79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9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98"/>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spacing w:after="57"/>
    </w:pPr>
  </w:style>
  <w:style w:type="paragraph" w:styleId="714">
    <w:name w:val="Normal Indent"/>
    <w:basedOn w:val="701"/>
    <w:next w:val="701"/>
    <w:uiPriority w:val="0"/>
    <w:qFormat/>
    <w:pPr>
      <w:ind w:firstLine="420"/>
    </w:pPr>
    <w:rPr>
      <w:szCs w:val="20"/>
    </w:r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Document Map"/>
    <w:basedOn w:val="701"/>
    <w:uiPriority w:val="0"/>
    <w:qFormat/>
    <w:pPr>
      <w:ind w:firstLine="200"/>
      <w:spacing w:before="120" w:after="120" w:line="360" w:lineRule="auto"/>
      <w:shd w:val="clear" w:color="auto" w:fill="000080"/>
    </w:pPr>
  </w:style>
  <w:style w:type="paragraph" w:styleId="717">
    <w:name w:val="annotation text"/>
    <w:basedOn w:val="701"/>
    <w:link w:val="1087"/>
    <w:uiPriority w:val="99"/>
    <w:semiHidden/>
    <w:unhideWhenUsed/>
    <w:qFormat/>
    <w:pPr>
      <w:jc w:val="left"/>
    </w:pPr>
  </w:style>
  <w:style w:type="paragraph" w:styleId="718">
    <w:name w:val="Body Text 3"/>
    <w:basedOn w:val="701"/>
    <w:uiPriority w:val="0"/>
    <w:qFormat/>
    <w:pPr>
      <w:spacing w:after="120"/>
    </w:pPr>
    <w:rPr>
      <w:sz w:val="16"/>
      <w:szCs w:val="16"/>
    </w:rPr>
  </w:style>
  <w:style w:type="paragraph" w:styleId="719">
    <w:name w:val="Body Text"/>
    <w:basedOn w:val="701"/>
    <w:uiPriority w:val="0"/>
    <w:qFormat/>
    <w:rPr>
      <w:rFonts w:ascii="仿宋_GB2312" w:eastAsia="仿宋_GB2312"/>
      <w:sz w:val="24"/>
      <w:szCs w:val="20"/>
    </w:rPr>
  </w:style>
  <w:style w:type="paragraph" w:styleId="720">
    <w:name w:val="Body Text Indent"/>
    <w:basedOn w:val="701"/>
    <w:next w:val="721"/>
    <w:uiPriority w:val="99"/>
    <w:unhideWhenUsed/>
    <w:qFormat/>
    <w:pPr>
      <w:ind w:left="420"/>
      <w:spacing w:after="120"/>
    </w:pPr>
  </w:style>
  <w:style w:type="paragraph" w:styleId="721">
    <w:name w:val="envelope return"/>
    <w:basedOn w:val="701"/>
    <w:uiPriority w:val="99"/>
    <w:unhideWhenUsed/>
    <w:qFormat/>
    <w:rPr>
      <w:rFonts w:ascii="Arial" w:hAnsi="Arial"/>
    </w:rPr>
  </w:style>
  <w:style w:type="paragraph" w:styleId="722">
    <w:name w:val="toc 5"/>
    <w:basedOn w:val="701"/>
    <w:next w:val="701"/>
    <w:uiPriority w:val="39"/>
    <w:unhideWhenUsed/>
    <w:qFormat/>
    <w:pPr>
      <w:ind w:left="1134"/>
      <w:spacing w:after="57"/>
    </w:pPr>
  </w:style>
  <w:style w:type="paragraph" w:styleId="723">
    <w:name w:val="toc 3"/>
    <w:basedOn w:val="701"/>
    <w:next w:val="701"/>
    <w:uiPriority w:val="39"/>
    <w:unhideWhenUsed/>
    <w:qFormat/>
    <w:pPr>
      <w:ind w:left="567"/>
      <w:spacing w:after="57"/>
    </w:pPr>
  </w:style>
  <w:style w:type="paragraph" w:styleId="724">
    <w:name w:val="Plain Text"/>
    <w:basedOn w:val="701"/>
    <w:next w:val="701"/>
    <w:uiPriority w:val="0"/>
    <w:qFormat/>
    <w:rPr>
      <w:rFonts w:ascii="宋体" w:hAnsi="Courier New"/>
      <w:sz w:val="20"/>
      <w:szCs w:val="21"/>
    </w:rPr>
  </w:style>
  <w:style w:type="paragraph" w:styleId="725">
    <w:name w:val="toc 8"/>
    <w:basedOn w:val="701"/>
    <w:next w:val="701"/>
    <w:uiPriority w:val="39"/>
    <w:unhideWhenUsed/>
    <w:qFormat/>
    <w:pPr>
      <w:ind w:left="1984"/>
      <w:spacing w:after="57"/>
    </w:pPr>
  </w:style>
  <w:style w:type="paragraph" w:styleId="726">
    <w:name w:val="endnote text"/>
    <w:basedOn w:val="701"/>
    <w:link w:val="936"/>
    <w:uiPriority w:val="99"/>
    <w:semiHidden/>
    <w:unhideWhenUsed/>
    <w:qFormat/>
    <w:rPr>
      <w:sz w:val="20"/>
    </w:rPr>
  </w:style>
  <w:style w:type="paragraph" w:styleId="727">
    <w:name w:val="Balloon Text"/>
    <w:basedOn w:val="701"/>
    <w:link w:val="1086"/>
    <w:uiPriority w:val="99"/>
    <w:semiHidden/>
    <w:unhideWhenUsed/>
    <w:qFormat/>
    <w:rPr>
      <w:sz w:val="18"/>
      <w:szCs w:val="18"/>
    </w:rPr>
  </w:style>
  <w:style w:type="paragraph" w:styleId="728">
    <w:name w:val="Footer"/>
    <w:basedOn w:val="701"/>
    <w:link w:val="809"/>
    <w:uiPriority w:val="99"/>
    <w:unhideWhenUsed/>
    <w:qFormat/>
    <w:pPr>
      <w:tabs>
        <w:tab w:val="center" w:pos="7143" w:leader="none"/>
        <w:tab w:val="right" w:pos="14287" w:leader="none"/>
      </w:tabs>
    </w:pPr>
  </w:style>
  <w:style w:type="paragraph" w:styleId="729">
    <w:name w:val="Header"/>
    <w:basedOn w:val="701"/>
    <w:link w:val="807"/>
    <w:uiPriority w:val="99"/>
    <w:unhideWhenUsed/>
    <w:qFormat/>
    <w:pPr>
      <w:tabs>
        <w:tab w:val="center" w:pos="7143" w:leader="none"/>
        <w:tab w:val="right" w:pos="14287" w:leader="none"/>
      </w:tabs>
    </w:pPr>
  </w:style>
  <w:style w:type="paragraph" w:styleId="730">
    <w:name w:val="toc 1"/>
    <w:basedOn w:val="701"/>
    <w:next w:val="701"/>
    <w:uiPriority w:val="39"/>
    <w:unhideWhenUsed/>
    <w:qFormat/>
    <w:pPr>
      <w:spacing w:after="57"/>
    </w:pPr>
  </w:style>
  <w:style w:type="paragraph" w:styleId="731">
    <w:name w:val="toc 4"/>
    <w:basedOn w:val="701"/>
    <w:next w:val="701"/>
    <w:uiPriority w:val="39"/>
    <w:unhideWhenUsed/>
    <w:qFormat/>
    <w:pPr>
      <w:ind w:left="850"/>
      <w:spacing w:after="57"/>
    </w:pPr>
  </w:style>
  <w:style w:type="paragraph" w:styleId="732">
    <w:name w:val="Subtitle"/>
    <w:basedOn w:val="701"/>
    <w:next w:val="701"/>
    <w:link w:val="802"/>
    <w:uiPriority w:val="11"/>
    <w:qFormat/>
    <w:pPr>
      <w:spacing w:before="200" w:after="200"/>
    </w:pPr>
    <w:rPr>
      <w:sz w:val="24"/>
    </w:rPr>
  </w:style>
  <w:style w:type="paragraph" w:styleId="733">
    <w:name w:val="footnote text"/>
    <w:basedOn w:val="701"/>
    <w:link w:val="935"/>
    <w:uiPriority w:val="99"/>
    <w:semiHidden/>
    <w:unhideWhenUsed/>
    <w:qFormat/>
    <w:pPr>
      <w:spacing w:after="40"/>
    </w:pPr>
    <w:rPr>
      <w:sz w:val="18"/>
    </w:rPr>
  </w:style>
  <w:style w:type="paragraph" w:styleId="734">
    <w:name w:val="toc 6"/>
    <w:basedOn w:val="701"/>
    <w:next w:val="701"/>
    <w:uiPriority w:val="39"/>
    <w:unhideWhenUsed/>
    <w:qFormat/>
    <w:pPr>
      <w:ind w:left="1417"/>
      <w:spacing w:after="57"/>
    </w:pPr>
  </w:style>
  <w:style w:type="paragraph" w:styleId="735">
    <w:name w:val="Body Text Indent 3"/>
    <w:basedOn w:val="701"/>
    <w:uiPriority w:val="0"/>
    <w:qFormat/>
    <w:pPr>
      <w:ind w:firstLine="617"/>
      <w:spacing w:line="360" w:lineRule="auto"/>
    </w:pPr>
    <w:rPr>
      <w:rFonts w:eastAsia="宋体"/>
      <w:sz w:val="24"/>
      <w:szCs w:val="24"/>
    </w:rPr>
  </w:style>
  <w:style w:type="paragraph" w:styleId="736">
    <w:name w:val="table of figures"/>
    <w:basedOn w:val="701"/>
    <w:next w:val="701"/>
    <w:uiPriority w:val="99"/>
    <w:unhideWhenUsed/>
    <w:qFormat/>
  </w:style>
  <w:style w:type="paragraph" w:styleId="737">
    <w:name w:val="toc 2"/>
    <w:basedOn w:val="701"/>
    <w:next w:val="701"/>
    <w:uiPriority w:val="39"/>
    <w:unhideWhenUsed/>
    <w:qFormat/>
    <w:pPr>
      <w:ind w:left="283"/>
      <w:spacing w:after="57"/>
    </w:pPr>
  </w:style>
  <w:style w:type="paragraph" w:styleId="738">
    <w:name w:val="toc 9"/>
    <w:basedOn w:val="701"/>
    <w:next w:val="701"/>
    <w:uiPriority w:val="39"/>
    <w:unhideWhenUsed/>
    <w:qFormat/>
    <w:pPr>
      <w:ind w:left="2268"/>
      <w:spacing w:after="57"/>
    </w:pPr>
  </w:style>
  <w:style w:type="paragraph" w:styleId="739">
    <w:name w:val="Normal (Web)"/>
    <w:basedOn w:val="701"/>
    <w:uiPriority w:val="0"/>
    <w:qFormat/>
    <w:pPr>
      <w:jc w:val="left"/>
      <w:spacing w:before="100" w:beforeAutospacing="1" w:after="100" w:afterAutospacing="1"/>
      <w:widowControl/>
    </w:pPr>
    <w:rPr>
      <w:rFonts w:ascii="宋体" w:hAnsi="宋体"/>
      <w:color w:val="000000"/>
      <w:sz w:val="24"/>
    </w:rPr>
  </w:style>
  <w:style w:type="paragraph" w:styleId="740">
    <w:name w:val="Title"/>
    <w:basedOn w:val="701"/>
    <w:next w:val="701"/>
    <w:link w:val="801"/>
    <w:uiPriority w:val="10"/>
    <w:qFormat/>
    <w:pPr>
      <w:contextualSpacing/>
      <w:spacing w:before="300" w:after="200"/>
    </w:pPr>
    <w:rPr>
      <w:sz w:val="48"/>
      <w:szCs w:val="48"/>
    </w:rPr>
  </w:style>
  <w:style w:type="paragraph" w:styleId="741">
    <w:name w:val="annotation subject"/>
    <w:basedOn w:val="717"/>
    <w:next w:val="717"/>
    <w:link w:val="1088"/>
    <w:uiPriority w:val="99"/>
    <w:semiHidden/>
    <w:unhideWhenUsed/>
    <w:qFormat/>
    <w:rPr>
      <w:b/>
      <w:bCs/>
    </w:rPr>
  </w:style>
  <w:style w:type="paragraph" w:styleId="742">
    <w:name w:val="Body Text First Indent"/>
    <w:basedOn w:val="719"/>
    <w:uiPriority w:val="0"/>
    <w:qFormat/>
    <w:pPr>
      <w:ind w:firstLine="420"/>
      <w:spacing w:after="120"/>
    </w:pPr>
    <w:rPr>
      <w:rFonts w:ascii="Times New Roman" w:eastAsia="宋体"/>
      <w:szCs w:val="24"/>
    </w:rPr>
  </w:style>
  <w:style w:type="paragraph" w:styleId="743">
    <w:name w:val="Body Text First Indent 2"/>
    <w:basedOn w:val="720"/>
    <w:next w:val="735"/>
    <w:uiPriority w:val="99"/>
    <w:unhideWhenUsed/>
    <w:qFormat/>
    <w:pPr>
      <w:ind w:firstLine="420"/>
    </w:p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1"/>
    <w:uiPriority w:val="22"/>
    <w:qFormat/>
    <w:rPr>
      <w:b/>
    </w:rPr>
  </w:style>
  <w:style w:type="character" w:styleId="746">
    <w:name w:val="endnote reference"/>
    <w:uiPriority w:val="99"/>
    <w:semiHidden/>
    <w:unhideWhenUsed/>
    <w:qFormat/>
    <w:rPr>
      <w:vertAlign w:val="superscript"/>
    </w:rPr>
  </w:style>
  <w:style w:type="character" w:styleId="747">
    <w:name w:val="Hyperlink"/>
    <w:basedOn w:val="711"/>
    <w:uiPriority w:val="99"/>
    <w:unhideWhenUsed/>
    <w:qFormat/>
    <w:rPr>
      <w:color w:val="0000ff" w:themeColor="hyperlink"/>
      <w:u w:val="single"/>
      <w14:textFill>
        <w14:solidFill>
          <w14:schemeClr w14:val="hlink"/>
        </w14:solidFill>
      </w14:textFill>
    </w:rPr>
  </w:style>
  <w:style w:type="character" w:styleId="748">
    <w:name w:val="annotation reference"/>
    <w:basedOn w:val="711"/>
    <w:uiPriority w:val="99"/>
    <w:semiHidden/>
    <w:unhideWhenUsed/>
    <w:qFormat/>
    <w:rPr>
      <w:sz w:val="21"/>
      <w:szCs w:val="21"/>
    </w:rPr>
  </w:style>
  <w:style w:type="character" w:styleId="749">
    <w:name w:val="footnote reference"/>
    <w:uiPriority w:val="99"/>
    <w:unhideWhenUsed/>
    <w:qFormat/>
    <w:rPr>
      <w:vertAlign w:val="superscript"/>
    </w:rPr>
  </w:style>
  <w:style w:type="character" w:styleId="750" w:customStyle="1">
    <w:name w:val="Heading 1 Char"/>
    <w:basedOn w:val="711"/>
    <w:uiPriority w:val="9"/>
    <w:qFormat/>
    <w:rPr>
      <w:rFonts w:ascii="Arial" w:hAnsi="Arial" w:eastAsia="Arial" w:cs="Arial"/>
      <w:sz w:val="40"/>
      <w:szCs w:val="40"/>
    </w:rPr>
  </w:style>
  <w:style w:type="character" w:styleId="751" w:customStyle="1">
    <w:name w:val="Heading 2 Char"/>
    <w:basedOn w:val="711"/>
    <w:uiPriority w:val="9"/>
    <w:qFormat/>
    <w:rPr>
      <w:rFonts w:ascii="Arial" w:hAnsi="Arial" w:eastAsia="Arial" w:cs="Arial"/>
      <w:sz w:val="34"/>
    </w:rPr>
  </w:style>
  <w:style w:type="character" w:styleId="752" w:customStyle="1">
    <w:name w:val="Heading 3 Char"/>
    <w:basedOn w:val="711"/>
    <w:uiPriority w:val="9"/>
    <w:qFormat/>
    <w:rPr>
      <w:rFonts w:ascii="Arial" w:hAnsi="Arial" w:eastAsia="Arial" w:cs="Arial"/>
      <w:sz w:val="30"/>
      <w:szCs w:val="30"/>
    </w:rPr>
  </w:style>
  <w:style w:type="character" w:styleId="753" w:customStyle="1">
    <w:name w:val="Heading 4 Char"/>
    <w:basedOn w:val="711"/>
    <w:uiPriority w:val="9"/>
    <w:qFormat/>
    <w:rPr>
      <w:rFonts w:ascii="Arial" w:hAnsi="Arial" w:eastAsia="Arial" w:cs="Arial"/>
      <w:b/>
      <w:bCs/>
      <w:sz w:val="26"/>
      <w:szCs w:val="26"/>
    </w:rPr>
  </w:style>
  <w:style w:type="character" w:styleId="754" w:customStyle="1">
    <w:name w:val="Heading 5 Char"/>
    <w:basedOn w:val="711"/>
    <w:uiPriority w:val="9"/>
    <w:qFormat/>
    <w:rPr>
      <w:rFonts w:ascii="Arial" w:hAnsi="Arial" w:eastAsia="Arial" w:cs="Arial"/>
      <w:b/>
      <w:bCs/>
      <w:sz w:val="24"/>
      <w:szCs w:val="24"/>
    </w:rPr>
  </w:style>
  <w:style w:type="character" w:styleId="755" w:customStyle="1">
    <w:name w:val="Heading 6 Char"/>
    <w:basedOn w:val="711"/>
    <w:uiPriority w:val="9"/>
    <w:qFormat/>
    <w:rPr>
      <w:rFonts w:ascii="Arial" w:hAnsi="Arial" w:eastAsia="Arial" w:cs="Arial"/>
      <w:b/>
      <w:bCs/>
      <w:sz w:val="22"/>
      <w:szCs w:val="22"/>
    </w:rPr>
  </w:style>
  <w:style w:type="character" w:styleId="756" w:customStyle="1">
    <w:name w:val="Heading 7 Char"/>
    <w:basedOn w:val="711"/>
    <w:uiPriority w:val="9"/>
    <w:qFormat/>
    <w:rPr>
      <w:rFonts w:ascii="Arial" w:hAnsi="Arial" w:eastAsia="Arial" w:cs="Arial"/>
      <w:b/>
      <w:bCs/>
      <w:i/>
      <w:iCs/>
      <w:sz w:val="22"/>
      <w:szCs w:val="22"/>
    </w:rPr>
  </w:style>
  <w:style w:type="character" w:styleId="757" w:customStyle="1">
    <w:name w:val="Heading 8 Char"/>
    <w:basedOn w:val="711"/>
    <w:uiPriority w:val="9"/>
    <w:qFormat/>
    <w:rPr>
      <w:rFonts w:ascii="Arial" w:hAnsi="Arial" w:eastAsia="Arial" w:cs="Arial"/>
      <w:i/>
      <w:iCs/>
      <w:sz w:val="22"/>
      <w:szCs w:val="22"/>
    </w:rPr>
  </w:style>
  <w:style w:type="character" w:styleId="758" w:customStyle="1">
    <w:name w:val="Heading 9 Char"/>
    <w:basedOn w:val="711"/>
    <w:uiPriority w:val="9"/>
    <w:qFormat/>
    <w:rPr>
      <w:rFonts w:ascii="Arial" w:hAnsi="Arial" w:eastAsia="Arial" w:cs="Arial"/>
      <w:i/>
      <w:iCs/>
      <w:sz w:val="21"/>
      <w:szCs w:val="21"/>
    </w:rPr>
  </w:style>
  <w:style w:type="character" w:styleId="759" w:customStyle="1">
    <w:name w:val="Title Char"/>
    <w:basedOn w:val="711"/>
    <w:uiPriority w:val="10"/>
    <w:qFormat/>
    <w:rPr>
      <w:sz w:val="48"/>
      <w:szCs w:val="48"/>
    </w:rPr>
  </w:style>
  <w:style w:type="character" w:styleId="760" w:customStyle="1">
    <w:name w:val="Subtitle Char"/>
    <w:basedOn w:val="711"/>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711"/>
    <w:uiPriority w:val="99"/>
    <w:qFormat/>
  </w:style>
  <w:style w:type="character" w:styleId="764" w:customStyle="1">
    <w:name w:val="Caption Char"/>
    <w:uiPriority w:val="99"/>
    <w:qFormat/>
  </w:style>
  <w:style w:type="table" w:styleId="765"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Heading"/>
    <w:uiPriority w:val="39"/>
    <w:unhideWhenUsed/>
    <w:qFormat/>
    <w:rPr>
      <w:rFonts w:hint="default" w:ascii="Times New Roman" w:hAnsi="Times New Roman" w:eastAsia="宋体" w:cs="Times New Roman"/>
    </w:rPr>
  </w:style>
  <w:style w:type="paragraph" w:styleId="787" w:customStyle="1">
    <w:name w:val="正文首行缩进1"/>
    <w:basedOn w:val="788"/>
    <w:uiPriority w:val="0"/>
    <w:qFormat/>
    <w:pPr>
      <w:ind w:firstLine="200"/>
      <w:spacing w:line="360" w:lineRule="auto"/>
    </w:pPr>
    <w:rPr>
      <w:sz w:val="30"/>
      <w:szCs w:val="30"/>
    </w:rPr>
  </w:style>
  <w:style w:type="paragraph" w:styleId="788" w:customStyle="1">
    <w:name w:val="正文文本1"/>
    <w:basedOn w:val="701"/>
    <w:next w:val="701"/>
    <w:uiPriority w:val="0"/>
    <w:qFormat/>
    <w:rPr>
      <w:rFonts w:ascii="楷体_GB2312" w:hAnsi="Arial" w:eastAsia="楷体_GB2312"/>
      <w:sz w:val="28"/>
      <w:szCs w:val="28"/>
    </w:rPr>
  </w:style>
  <w:style w:type="paragraph" w:styleId="789" w:customStyle="1">
    <w:name w:val="正文首行缩进 21"/>
    <w:basedOn w:val="720"/>
    <w:uiPriority w:val="99"/>
    <w:unhideWhenUsed/>
    <w:qFormat/>
    <w:pPr>
      <w:ind w:firstLine="200"/>
    </w:pPr>
  </w:style>
  <w:style w:type="character" w:styleId="790" w:customStyle="1">
    <w:name w:val="标题 1 字符"/>
    <w:link w:val="702"/>
    <w:uiPriority w:val="9"/>
    <w:qFormat/>
    <w:rPr>
      <w:rFonts w:ascii="Arial" w:hAnsi="Arial" w:eastAsia="Arial" w:cs="Arial"/>
      <w:sz w:val="40"/>
      <w:szCs w:val="40"/>
    </w:rPr>
  </w:style>
  <w:style w:type="character" w:styleId="791" w:customStyle="1">
    <w:name w:val="标题 2 字符"/>
    <w:link w:val="703"/>
    <w:uiPriority w:val="9"/>
    <w:qFormat/>
    <w:rPr>
      <w:rFonts w:ascii="Arial" w:hAnsi="Arial" w:eastAsia="Arial" w:cs="Arial"/>
      <w:sz w:val="34"/>
    </w:rPr>
  </w:style>
  <w:style w:type="character" w:styleId="792" w:customStyle="1">
    <w:name w:val="标题 3 字符"/>
    <w:link w:val="704"/>
    <w:uiPriority w:val="9"/>
    <w:qFormat/>
    <w:rPr>
      <w:rFonts w:ascii="Arial" w:hAnsi="Arial" w:eastAsia="Arial" w:cs="Arial"/>
      <w:sz w:val="30"/>
      <w:szCs w:val="30"/>
    </w:rPr>
  </w:style>
  <w:style w:type="character" w:styleId="793" w:customStyle="1">
    <w:name w:val="标题 4 字符"/>
    <w:link w:val="705"/>
    <w:uiPriority w:val="9"/>
    <w:qFormat/>
    <w:rPr>
      <w:rFonts w:ascii="Arial" w:hAnsi="Arial" w:eastAsia="Arial" w:cs="Arial"/>
      <w:b/>
      <w:bCs/>
      <w:sz w:val="26"/>
      <w:szCs w:val="26"/>
    </w:rPr>
  </w:style>
  <w:style w:type="character" w:styleId="794" w:customStyle="1">
    <w:name w:val="标题 5 字符"/>
    <w:link w:val="706"/>
    <w:uiPriority w:val="9"/>
    <w:qFormat/>
    <w:rPr>
      <w:rFonts w:ascii="Arial" w:hAnsi="Arial" w:eastAsia="Arial" w:cs="Arial"/>
      <w:b/>
      <w:bCs/>
      <w:sz w:val="24"/>
      <w:szCs w:val="24"/>
    </w:rPr>
  </w:style>
  <w:style w:type="character" w:styleId="795" w:customStyle="1">
    <w:name w:val="标题 6 字符"/>
    <w:link w:val="707"/>
    <w:uiPriority w:val="9"/>
    <w:qFormat/>
    <w:rPr>
      <w:rFonts w:ascii="Arial" w:hAnsi="Arial" w:eastAsia="Arial" w:cs="Arial"/>
      <w:b/>
      <w:bCs/>
      <w:sz w:val="22"/>
      <w:szCs w:val="22"/>
    </w:rPr>
  </w:style>
  <w:style w:type="character" w:styleId="796" w:customStyle="1">
    <w:name w:val="标题 7 字符"/>
    <w:link w:val="708"/>
    <w:uiPriority w:val="9"/>
    <w:qFormat/>
    <w:rPr>
      <w:rFonts w:ascii="Arial" w:hAnsi="Arial" w:eastAsia="Arial" w:cs="Arial"/>
      <w:b/>
      <w:bCs/>
      <w:i/>
      <w:iCs/>
      <w:sz w:val="22"/>
      <w:szCs w:val="22"/>
    </w:rPr>
  </w:style>
  <w:style w:type="character" w:styleId="797" w:customStyle="1">
    <w:name w:val="标题 8 字符"/>
    <w:link w:val="709"/>
    <w:uiPriority w:val="9"/>
    <w:qFormat/>
    <w:rPr>
      <w:rFonts w:ascii="Arial" w:hAnsi="Arial" w:eastAsia="Arial" w:cs="Arial"/>
      <w:i/>
      <w:iCs/>
      <w:sz w:val="22"/>
      <w:szCs w:val="22"/>
    </w:rPr>
  </w:style>
  <w:style w:type="character" w:styleId="798" w:customStyle="1">
    <w:name w:val="标题 9 字符"/>
    <w:link w:val="710"/>
    <w:uiPriority w:val="9"/>
    <w:qFormat/>
    <w:rPr>
      <w:rFonts w:ascii="Arial" w:hAnsi="Arial" w:eastAsia="Arial" w:cs="Arial"/>
      <w:i/>
      <w:iCs/>
      <w:sz w:val="21"/>
      <w:szCs w:val="21"/>
    </w:rPr>
  </w:style>
  <w:style w:type="paragraph" w:styleId="799">
    <w:name w:val="List Paragraph"/>
    <w:basedOn w:val="701"/>
    <w:uiPriority w:val="34"/>
    <w:qFormat/>
    <w:pPr>
      <w:contextualSpacing/>
      <w:ind w:left="720"/>
    </w:p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标题 字符"/>
    <w:link w:val="740"/>
    <w:uiPriority w:val="10"/>
    <w:qFormat/>
    <w:rPr>
      <w:sz w:val="48"/>
      <w:szCs w:val="48"/>
    </w:rPr>
  </w:style>
  <w:style w:type="character" w:styleId="802" w:customStyle="1">
    <w:name w:val="副标题 字符"/>
    <w:link w:val="732"/>
    <w:uiPriority w:val="11"/>
    <w:qFormat/>
    <w:rPr>
      <w:sz w:val="24"/>
      <w:szCs w:val="24"/>
    </w:rPr>
  </w:style>
  <w:style w:type="paragraph" w:styleId="803">
    <w:name w:val="Quote"/>
    <w:basedOn w:val="701"/>
    <w:next w:val="701"/>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01"/>
    <w:next w:val="701"/>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link w:val="729"/>
    <w:uiPriority w:val="99"/>
    <w:qFormat/>
  </w:style>
  <w:style w:type="character" w:styleId="808" w:customStyle="1">
    <w:name w:val="Footer Char"/>
    <w:uiPriority w:val="99"/>
    <w:qFormat/>
  </w:style>
  <w:style w:type="character" w:styleId="809" w:customStyle="1">
    <w:name w:val="页脚 字符"/>
    <w:link w:val="728"/>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33"/>
    <w:uiPriority w:val="99"/>
    <w:qFormat/>
    <w:rPr>
      <w:sz w:val="18"/>
    </w:rPr>
  </w:style>
  <w:style w:type="character" w:styleId="936" w:customStyle="1">
    <w:name w:val="尾注文本 字符"/>
    <w:link w:val="726"/>
    <w:uiPriority w:val="99"/>
    <w:qFormat/>
    <w:rPr>
      <w:sz w:val="20"/>
    </w:rPr>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01"/>
    <w:next w:val="701"/>
    <w:link w:val="951"/>
    <w:uiPriority w:val="0"/>
    <w:qFormat/>
    <w:pPr>
      <w:keepLines/>
      <w:keepNext/>
      <w:spacing w:before="340" w:after="330" w:line="578" w:lineRule="auto"/>
      <w:outlineLvl w:val="0"/>
    </w:pPr>
    <w:rPr>
      <w:b/>
      <w:bCs/>
      <w:sz w:val="44"/>
      <w:szCs w:val="44"/>
    </w:rPr>
  </w:style>
  <w:style w:type="paragraph" w:styleId="939" w:customStyle="1">
    <w:name w:val="标题 21"/>
    <w:basedOn w:val="701"/>
    <w:next w:val="701"/>
    <w:link w:val="952"/>
    <w:uiPriority w:val="0"/>
    <w:qFormat/>
    <w:pPr>
      <w:keepLines/>
      <w:keepNext/>
      <w:spacing w:before="260" w:after="260" w:line="416" w:lineRule="auto"/>
      <w:outlineLvl w:val="1"/>
    </w:pPr>
    <w:rPr>
      <w:rFonts w:ascii="Arial" w:hAnsi="Arial" w:eastAsia="黑体"/>
      <w:b/>
      <w:bCs/>
      <w:sz w:val="32"/>
      <w:szCs w:val="32"/>
    </w:rPr>
  </w:style>
  <w:style w:type="paragraph" w:styleId="940" w:customStyle="1">
    <w:name w:val="标题 31"/>
    <w:basedOn w:val="701"/>
    <w:next w:val="701"/>
    <w:link w:val="953"/>
    <w:uiPriority w:val="0"/>
    <w:qFormat/>
    <w:pPr>
      <w:keepLines/>
      <w:keepNext/>
      <w:spacing w:before="260" w:after="260" w:line="416" w:lineRule="auto"/>
      <w:outlineLvl w:val="2"/>
    </w:pPr>
    <w:rPr>
      <w:b/>
      <w:bCs/>
      <w:sz w:val="32"/>
      <w:szCs w:val="32"/>
    </w:rPr>
  </w:style>
  <w:style w:type="paragraph" w:styleId="941" w:customStyle="1">
    <w:name w:val="标题 411"/>
    <w:basedOn w:val="701"/>
    <w:next w:val="701"/>
    <w:link w:val="954"/>
    <w:uiPriority w:val="0"/>
    <w:qFormat/>
    <w:pPr>
      <w:jc w:val="center"/>
      <w:keepNext/>
      <w:outlineLvl w:val="3"/>
    </w:pPr>
    <w:rPr>
      <w:rFonts w:eastAsia="新宋体"/>
      <w:sz w:val="30"/>
      <w:szCs w:val="21"/>
    </w:rPr>
  </w:style>
  <w:style w:type="paragraph" w:styleId="942" w:customStyle="1">
    <w:name w:val="标题 51"/>
    <w:basedOn w:val="701"/>
    <w:next w:val="701"/>
    <w:link w:val="955"/>
    <w:uiPriority w:val="0"/>
    <w:qFormat/>
    <w:pPr>
      <w:keepLines/>
      <w:keepNext/>
      <w:spacing w:before="280" w:after="290" w:line="376" w:lineRule="auto"/>
      <w:outlineLvl w:val="4"/>
    </w:pPr>
    <w:rPr>
      <w:b/>
      <w:bCs/>
      <w:sz w:val="28"/>
      <w:szCs w:val="28"/>
    </w:rPr>
  </w:style>
  <w:style w:type="paragraph" w:styleId="943" w:customStyle="1">
    <w:name w:val="标题 61"/>
    <w:basedOn w:val="701"/>
    <w:next w:val="944"/>
    <w:link w:val="956"/>
    <w:uiPriority w:val="0"/>
    <w:qFormat/>
    <w:pPr>
      <w:jc w:val="center"/>
      <w:keepNext/>
      <w:outlineLvl w:val="5"/>
    </w:pPr>
    <w:rPr>
      <w:b/>
      <w:sz w:val="44"/>
      <w:szCs w:val="20"/>
    </w:rPr>
  </w:style>
  <w:style w:type="paragraph" w:styleId="944" w:customStyle="1">
    <w:name w:val="正文缩进11"/>
    <w:basedOn w:val="701"/>
    <w:link w:val="957"/>
    <w:uiPriority w:val="0"/>
    <w:qFormat/>
    <w:pPr>
      <w:ind w:firstLine="420"/>
    </w:pPr>
    <w:rPr>
      <w:sz w:val="20"/>
      <w:szCs w:val="20"/>
    </w:rPr>
  </w:style>
  <w:style w:type="paragraph" w:styleId="945" w:customStyle="1">
    <w:name w:val="纯文本1"/>
    <w:basedOn w:val="701"/>
    <w:link w:val="958"/>
    <w:uiPriority w:val="0"/>
    <w:qFormat/>
    <w:rPr>
      <w:rFonts w:ascii="宋体" w:hAnsi="Courier New"/>
      <w:sz w:val="20"/>
      <w:szCs w:val="21"/>
    </w:rPr>
  </w:style>
  <w:style w:type="paragraph" w:styleId="946" w:customStyle="1">
    <w:name w:val="标题 71"/>
    <w:basedOn w:val="701"/>
    <w:next w:val="701"/>
    <w:link w:val="959"/>
    <w:uiPriority w:val="0"/>
    <w:qFormat/>
    <w:pPr>
      <w:keepLines/>
      <w:keepNext/>
      <w:spacing w:before="240" w:after="64" w:line="320" w:lineRule="auto"/>
      <w:outlineLvl w:val="6"/>
    </w:pPr>
    <w:rPr>
      <w:b/>
      <w:bCs/>
      <w:sz w:val="24"/>
    </w:rPr>
  </w:style>
  <w:style w:type="paragraph" w:styleId="947" w:customStyle="1">
    <w:name w:val="标题 81"/>
    <w:basedOn w:val="701"/>
    <w:next w:val="701"/>
    <w:link w:val="960"/>
    <w:uiPriority w:val="0"/>
    <w:qFormat/>
    <w:pPr>
      <w:keepLines/>
      <w:keepNext/>
      <w:spacing w:before="240" w:after="64" w:line="320" w:lineRule="auto"/>
      <w:outlineLvl w:val="7"/>
    </w:pPr>
    <w:rPr>
      <w:rFonts w:ascii="Arial" w:hAnsi="Arial" w:eastAsia="黑体"/>
      <w:sz w:val="24"/>
    </w:rPr>
  </w:style>
  <w:style w:type="paragraph" w:styleId="948" w:customStyle="1">
    <w:name w:val="标题 91"/>
    <w:basedOn w:val="701"/>
    <w:next w:val="701"/>
    <w:link w:val="961"/>
    <w:uiPriority w:val="0"/>
    <w:qFormat/>
    <w:pPr>
      <w:keepLines/>
      <w:keepNext/>
      <w:spacing w:before="240" w:after="64" w:line="320" w:lineRule="auto"/>
      <w:outlineLvl w:val="8"/>
    </w:pPr>
    <w:rPr>
      <w:rFonts w:ascii="Arial" w:hAnsi="Arial" w:eastAsia="黑体"/>
      <w:sz w:val="24"/>
      <w:szCs w:val="21"/>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character" w:styleId="951" w:customStyle="1">
    <w:name w:val="标题 1 Char"/>
    <w:link w:val="938"/>
    <w:uiPriority w:val="0"/>
    <w:qFormat/>
    <w:rPr>
      <w:rFonts w:ascii="Times New Roman" w:hAnsi="Times New Roman" w:eastAsia="宋体" w:cs="Times New Roman"/>
      <w:b/>
      <w:bCs/>
      <w:sz w:val="44"/>
      <w:szCs w:val="44"/>
    </w:rPr>
  </w:style>
  <w:style w:type="character" w:styleId="952" w:customStyle="1">
    <w:name w:val="标题 2 Char"/>
    <w:link w:val="939"/>
    <w:uiPriority w:val="0"/>
    <w:qFormat/>
    <w:rPr>
      <w:rFonts w:ascii="Arial" w:hAnsi="Arial" w:eastAsia="黑体" w:cs="Times New Roman"/>
      <w:b/>
      <w:bCs/>
      <w:sz w:val="32"/>
      <w:szCs w:val="32"/>
    </w:rPr>
  </w:style>
  <w:style w:type="character" w:styleId="953" w:customStyle="1">
    <w:name w:val="标题 3 Char"/>
    <w:link w:val="940"/>
    <w:uiPriority w:val="0"/>
    <w:qFormat/>
    <w:rPr>
      <w:rFonts w:ascii="Times New Roman" w:hAnsi="Times New Roman" w:eastAsia="宋体" w:cs="Times New Roman"/>
      <w:b/>
      <w:bCs/>
      <w:sz w:val="32"/>
      <w:szCs w:val="32"/>
    </w:rPr>
  </w:style>
  <w:style w:type="character" w:styleId="954" w:customStyle="1">
    <w:name w:val="标题 4 Char"/>
    <w:link w:val="941"/>
    <w:uiPriority w:val="0"/>
    <w:qFormat/>
    <w:rPr>
      <w:rFonts w:ascii="Times New Roman" w:hAnsi="Times New Roman" w:eastAsia="新宋体" w:cs="Times New Roman"/>
      <w:sz w:val="30"/>
      <w:szCs w:val="21"/>
    </w:rPr>
  </w:style>
  <w:style w:type="character" w:styleId="955" w:customStyle="1">
    <w:name w:val="标题 5 Char"/>
    <w:link w:val="942"/>
    <w:uiPriority w:val="0"/>
    <w:qFormat/>
    <w:rPr>
      <w:rFonts w:ascii="Times New Roman" w:hAnsi="Times New Roman" w:eastAsia="宋体" w:cs="Times New Roman"/>
      <w:b/>
      <w:bCs/>
      <w:sz w:val="28"/>
      <w:szCs w:val="28"/>
    </w:rPr>
  </w:style>
  <w:style w:type="character" w:styleId="956" w:customStyle="1">
    <w:name w:val="标题 6 Char"/>
    <w:link w:val="943"/>
    <w:uiPriority w:val="0"/>
    <w:qFormat/>
    <w:rPr>
      <w:rFonts w:ascii="Times New Roman" w:hAnsi="Times New Roman" w:eastAsia="宋体" w:cs="Times New Roman"/>
      <w:b/>
      <w:sz w:val="44"/>
      <w:szCs w:val="20"/>
    </w:rPr>
  </w:style>
  <w:style w:type="character" w:styleId="957" w:customStyle="1">
    <w:name w:val="正文缩进 Char"/>
    <w:link w:val="944"/>
    <w:uiPriority w:val="0"/>
    <w:qFormat/>
    <w:rPr>
      <w:rFonts w:ascii="Times New Roman" w:hAnsi="Times New Roman" w:eastAsia="宋体" w:cs="Times New Roman"/>
      <w:sz w:val="20"/>
      <w:szCs w:val="20"/>
    </w:rPr>
  </w:style>
  <w:style w:type="character" w:styleId="958" w:customStyle="1">
    <w:name w:val="纯文本 Char"/>
    <w:link w:val="945"/>
    <w:uiPriority w:val="0"/>
    <w:qFormat/>
    <w:rPr>
      <w:rFonts w:ascii="宋体" w:hAnsi="Courier New" w:eastAsia="宋体" w:cs="Courier New"/>
      <w:szCs w:val="21"/>
    </w:rPr>
  </w:style>
  <w:style w:type="character" w:styleId="959" w:customStyle="1">
    <w:name w:val="标题 7 Char"/>
    <w:link w:val="946"/>
    <w:uiPriority w:val="0"/>
    <w:qFormat/>
    <w:rPr>
      <w:rFonts w:ascii="Times New Roman" w:hAnsi="Times New Roman" w:eastAsia="宋体" w:cs="Times New Roman"/>
      <w:b/>
      <w:bCs/>
      <w:sz w:val="24"/>
      <w:szCs w:val="24"/>
    </w:rPr>
  </w:style>
  <w:style w:type="character" w:styleId="960" w:customStyle="1">
    <w:name w:val="标题 8 Char"/>
    <w:link w:val="947"/>
    <w:uiPriority w:val="0"/>
    <w:qFormat/>
    <w:rPr>
      <w:rFonts w:ascii="Arial" w:hAnsi="Arial" w:eastAsia="黑体" w:cs="Times New Roman"/>
      <w:sz w:val="24"/>
      <w:szCs w:val="24"/>
    </w:rPr>
  </w:style>
  <w:style w:type="character" w:styleId="961" w:customStyle="1">
    <w:name w:val="标题 9 Char"/>
    <w:link w:val="948"/>
    <w:uiPriority w:val="0"/>
    <w:qFormat/>
    <w:rPr>
      <w:rFonts w:ascii="Arial" w:hAnsi="Arial" w:eastAsia="黑体" w:cs="Times New Roman"/>
      <w:sz w:val="24"/>
      <w:szCs w:val="21"/>
    </w:rPr>
  </w:style>
  <w:style w:type="paragraph" w:styleId="962" w:customStyle="1">
    <w:name w:val="注释标题1"/>
    <w:basedOn w:val="701"/>
    <w:next w:val="701"/>
    <w:uiPriority w:val="0"/>
    <w:qFormat/>
    <w:rPr>
      <w:rFonts w:ascii="Verdana" w:hAnsi="Verdana"/>
      <w:szCs w:val="20"/>
    </w:rPr>
  </w:style>
  <w:style w:type="paragraph" w:styleId="963" w:customStyle="1">
    <w:name w:val="文档结构图1"/>
    <w:basedOn w:val="701"/>
    <w:link w:val="964"/>
    <w:uiPriority w:val="0"/>
    <w:semiHidden/>
    <w:qFormat/>
    <w:pPr>
      <w:shd w:val="clear" w:color="auto" w:fill="000080"/>
    </w:pPr>
    <w:rPr>
      <w:sz w:val="20"/>
    </w:rPr>
  </w:style>
  <w:style w:type="character" w:styleId="964" w:customStyle="1">
    <w:name w:val="文档结构图 Char"/>
    <w:link w:val="963"/>
    <w:uiPriority w:val="0"/>
    <w:semiHidden/>
    <w:qFormat/>
    <w:rPr>
      <w:szCs w:val="24"/>
      <w:shd w:val="clear" w:color="auto" w:fill="000080"/>
    </w:rPr>
  </w:style>
  <w:style w:type="paragraph" w:styleId="965" w:customStyle="1">
    <w:name w:val="引文目录标题1"/>
    <w:basedOn w:val="701"/>
    <w:next w:val="701"/>
    <w:uiPriority w:val="0"/>
    <w:qFormat/>
    <w:pPr>
      <w:jc w:val="center"/>
      <w:spacing w:line="360" w:lineRule="atLeast"/>
    </w:pPr>
    <w:rPr>
      <w:rFonts w:ascii="Arial" w:hAnsi="Arial" w:eastAsia="黑体"/>
      <w:sz w:val="36"/>
      <w:szCs w:val="20"/>
    </w:rPr>
  </w:style>
  <w:style w:type="paragraph" w:styleId="966" w:customStyle="1">
    <w:name w:val="批注文字1"/>
    <w:basedOn w:val="701"/>
    <w:uiPriority w:val="99"/>
    <w:unhideWhenUsed/>
    <w:qFormat/>
    <w:pPr>
      <w:jc w:val="left"/>
    </w:pPr>
  </w:style>
  <w:style w:type="paragraph" w:styleId="967" w:customStyle="1">
    <w:name w:val="正文文本 31"/>
    <w:basedOn w:val="701"/>
    <w:link w:val="968"/>
    <w:uiPriority w:val="0"/>
    <w:qFormat/>
    <w:pPr>
      <w:spacing w:after="120"/>
    </w:pPr>
    <w:rPr>
      <w:sz w:val="16"/>
      <w:szCs w:val="16"/>
    </w:rPr>
  </w:style>
  <w:style w:type="character" w:styleId="968" w:customStyle="1">
    <w:name w:val="正文文本 3 Char"/>
    <w:link w:val="967"/>
    <w:uiPriority w:val="0"/>
    <w:qFormat/>
    <w:rPr>
      <w:rFonts w:ascii="Times New Roman" w:hAnsi="Times New Roman" w:eastAsia="宋体" w:cs="Times New Roman"/>
      <w:sz w:val="16"/>
      <w:szCs w:val="16"/>
    </w:rPr>
  </w:style>
  <w:style w:type="paragraph" w:styleId="969" w:customStyle="1">
    <w:name w:val="正文文本11"/>
    <w:basedOn w:val="701"/>
    <w:next w:val="701"/>
    <w:link w:val="970"/>
    <w:uiPriority w:val="0"/>
    <w:qFormat/>
    <w:rPr>
      <w:rFonts w:ascii="仿宋_GB2312" w:eastAsia="仿宋_GB2312"/>
      <w:sz w:val="24"/>
      <w:szCs w:val="20"/>
    </w:rPr>
  </w:style>
  <w:style w:type="character" w:styleId="970" w:customStyle="1">
    <w:name w:val="正文文本 Char"/>
    <w:link w:val="969"/>
    <w:uiPriority w:val="0"/>
    <w:qFormat/>
    <w:rPr>
      <w:rFonts w:ascii="仿宋_GB2312" w:hAnsi="Times New Roman" w:eastAsia="仿宋_GB2312" w:cs="Times New Roman"/>
      <w:sz w:val="24"/>
      <w:szCs w:val="20"/>
    </w:rPr>
  </w:style>
  <w:style w:type="paragraph" w:styleId="971" w:customStyle="1">
    <w:name w:val="正文文本缩进1"/>
    <w:basedOn w:val="701"/>
    <w:next w:val="972"/>
    <w:link w:val="973"/>
    <w:uiPriority w:val="0"/>
    <w:qFormat/>
    <w:pPr>
      <w:ind w:left="765"/>
    </w:pPr>
    <w:rPr>
      <w:rFonts w:ascii="仿宋_GB2312" w:eastAsia="仿宋_GB2312"/>
      <w:sz w:val="28"/>
      <w:szCs w:val="20"/>
    </w:rPr>
  </w:style>
  <w:style w:type="paragraph" w:styleId="972" w:customStyle="1">
    <w:name w:val="寄信人地址1"/>
    <w:basedOn w:val="701"/>
    <w:uiPriority w:val="99"/>
    <w:unhideWhenUsed/>
    <w:qFormat/>
    <w:rPr>
      <w:rFonts w:ascii="Arial" w:hAnsi="Arial"/>
    </w:rPr>
  </w:style>
  <w:style w:type="character" w:styleId="973" w:customStyle="1">
    <w:name w:val="正文文本缩进 Char"/>
    <w:link w:val="971"/>
    <w:uiPriority w:val="0"/>
    <w:qFormat/>
    <w:rPr>
      <w:rFonts w:ascii="仿宋_GB2312" w:hAnsi="Times New Roman" w:eastAsia="仿宋_GB2312" w:cs="Times New Roman"/>
      <w:sz w:val="28"/>
      <w:szCs w:val="20"/>
    </w:rPr>
  </w:style>
  <w:style w:type="paragraph" w:styleId="974" w:customStyle="1">
    <w:name w:val="文本块1"/>
    <w:basedOn w:val="701"/>
    <w:next w:val="969"/>
    <w:uiPriority w:val="0"/>
    <w:qFormat/>
    <w:pPr>
      <w:ind w:right="210" w:firstLine="560"/>
      <w:spacing w:line="360" w:lineRule="auto"/>
    </w:pPr>
    <w:rPr>
      <w:rFonts w:ascii="宋体" w:hAnsi="宋体"/>
      <w:color w:val="000000"/>
      <w:spacing w:val="20"/>
      <w:sz w:val="24"/>
      <w:szCs w:val="18"/>
    </w:rPr>
  </w:style>
  <w:style w:type="paragraph" w:styleId="975" w:customStyle="1">
    <w:name w:val="日期1"/>
    <w:basedOn w:val="701"/>
    <w:next w:val="701"/>
    <w:link w:val="976"/>
    <w:uiPriority w:val="0"/>
    <w:qFormat/>
    <w:rPr>
      <w:sz w:val="24"/>
      <w:szCs w:val="20"/>
    </w:rPr>
  </w:style>
  <w:style w:type="character" w:styleId="976" w:customStyle="1">
    <w:name w:val="日期 Char"/>
    <w:link w:val="975"/>
    <w:uiPriority w:val="0"/>
    <w:qFormat/>
    <w:rPr>
      <w:rFonts w:ascii="Times New Roman" w:hAnsi="Times New Roman" w:eastAsia="宋体" w:cs="Times New Roman"/>
      <w:sz w:val="24"/>
      <w:szCs w:val="20"/>
    </w:rPr>
  </w:style>
  <w:style w:type="paragraph" w:styleId="977" w:customStyle="1">
    <w:name w:val="正文文本缩进 21"/>
    <w:basedOn w:val="701"/>
    <w:link w:val="978"/>
    <w:uiPriority w:val="0"/>
    <w:qFormat/>
    <w:pPr>
      <w:ind w:firstLine="560"/>
      <w:spacing w:line="500" w:lineRule="exact"/>
    </w:pPr>
    <w:rPr>
      <w:rFonts w:eastAsia="仿宋_GB2312"/>
      <w:sz w:val="28"/>
      <w:szCs w:val="20"/>
    </w:rPr>
  </w:style>
  <w:style w:type="character" w:styleId="978" w:customStyle="1">
    <w:name w:val="正文文本缩进 2 Char"/>
    <w:link w:val="977"/>
    <w:uiPriority w:val="0"/>
    <w:qFormat/>
    <w:rPr>
      <w:rFonts w:ascii="Times New Roman" w:hAnsi="Times New Roman" w:eastAsia="仿宋_GB2312" w:cs="Times New Roman"/>
      <w:sz w:val="28"/>
      <w:szCs w:val="20"/>
    </w:rPr>
  </w:style>
  <w:style w:type="paragraph" w:styleId="979" w:customStyle="1">
    <w:name w:val="批注框文本1"/>
    <w:basedOn w:val="701"/>
    <w:link w:val="980"/>
    <w:uiPriority w:val="0"/>
    <w:semiHidden/>
    <w:qFormat/>
    <w:rPr>
      <w:sz w:val="18"/>
      <w:szCs w:val="18"/>
    </w:rPr>
  </w:style>
  <w:style w:type="character" w:styleId="980" w:customStyle="1">
    <w:name w:val="批注框文本 Char"/>
    <w:link w:val="979"/>
    <w:uiPriority w:val="0"/>
    <w:semiHidden/>
    <w:qFormat/>
    <w:rPr>
      <w:sz w:val="18"/>
      <w:szCs w:val="18"/>
    </w:rPr>
  </w:style>
  <w:style w:type="paragraph" w:styleId="981" w:customStyle="1">
    <w:name w:val="页脚1"/>
    <w:basedOn w:val="701"/>
    <w:link w:val="982"/>
    <w:uiPriority w:val="99"/>
    <w:qFormat/>
    <w:pPr>
      <w:jc w:val="left"/>
      <w:tabs>
        <w:tab w:val="center" w:pos="4153" w:leader="none"/>
        <w:tab w:val="right" w:pos="8306" w:leader="none"/>
      </w:tabs>
    </w:pPr>
    <w:rPr>
      <w:sz w:val="18"/>
      <w:szCs w:val="20"/>
    </w:rPr>
  </w:style>
  <w:style w:type="character" w:styleId="982" w:customStyle="1">
    <w:name w:val="页脚 Char"/>
    <w:link w:val="981"/>
    <w:uiPriority w:val="99"/>
    <w:qFormat/>
    <w:rPr>
      <w:rFonts w:ascii="Times New Roman" w:hAnsi="Times New Roman" w:eastAsia="宋体" w:cs="Times New Roman"/>
      <w:sz w:val="18"/>
      <w:szCs w:val="20"/>
    </w:rPr>
  </w:style>
  <w:style w:type="paragraph" w:styleId="983" w:customStyle="1">
    <w:name w:val="页眉1"/>
    <w:basedOn w:val="701"/>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Char"/>
    <w:link w:val="983"/>
    <w:uiPriority w:val="0"/>
    <w:qFormat/>
    <w:rPr>
      <w:rFonts w:ascii="Times New Roman" w:hAnsi="Times New Roman" w:eastAsia="宋体" w:cs="Times New Roman"/>
      <w:sz w:val="18"/>
      <w:szCs w:val="18"/>
    </w:rPr>
  </w:style>
  <w:style w:type="paragraph" w:styleId="985" w:customStyle="1">
    <w:name w:val="目录 11"/>
    <w:basedOn w:val="701"/>
    <w:next w:val="701"/>
    <w:uiPriority w:val="0"/>
    <w:semiHidden/>
    <w:qFormat/>
    <w:rPr>
      <w:sz w:val="24"/>
    </w:rPr>
  </w:style>
  <w:style w:type="paragraph" w:styleId="986" w:customStyle="1">
    <w:name w:val="列表1"/>
    <w:basedOn w:val="701"/>
    <w:uiPriority w:val="0"/>
    <w:qFormat/>
    <w:pPr>
      <w:ind w:left="200" w:hanging="200"/>
    </w:pPr>
  </w:style>
  <w:style w:type="paragraph" w:styleId="987" w:customStyle="1">
    <w:name w:val="正文文本缩进 31"/>
    <w:basedOn w:val="701"/>
    <w:next w:val="965"/>
    <w:link w:val="988"/>
    <w:uiPriority w:val="0"/>
    <w:qFormat/>
    <w:pPr>
      <w:ind w:left="420"/>
      <w:spacing w:after="120"/>
    </w:pPr>
    <w:rPr>
      <w:sz w:val="16"/>
      <w:szCs w:val="16"/>
    </w:rPr>
  </w:style>
  <w:style w:type="character" w:styleId="988" w:customStyle="1">
    <w:name w:val="正文文本缩进 3 Char"/>
    <w:link w:val="987"/>
    <w:uiPriority w:val="0"/>
    <w:qFormat/>
    <w:rPr>
      <w:rFonts w:ascii="Times New Roman" w:hAnsi="Times New Roman" w:eastAsia="宋体" w:cs="Times New Roman"/>
      <w:sz w:val="16"/>
      <w:szCs w:val="16"/>
    </w:rPr>
  </w:style>
  <w:style w:type="paragraph" w:styleId="989" w:customStyle="1">
    <w:name w:val="正文文本 21"/>
    <w:basedOn w:val="701"/>
    <w:link w:val="990"/>
    <w:uiPriority w:val="0"/>
    <w:qFormat/>
    <w:rPr>
      <w:b/>
      <w:bCs/>
      <w:sz w:val="18"/>
    </w:rPr>
  </w:style>
  <w:style w:type="character" w:styleId="990" w:customStyle="1">
    <w:name w:val="正文文本 2 Char"/>
    <w:link w:val="989"/>
    <w:uiPriority w:val="0"/>
    <w:qFormat/>
    <w:rPr>
      <w:rFonts w:ascii="Times New Roman" w:hAnsi="Times New Roman" w:eastAsia="宋体" w:cs="Times New Roman"/>
      <w:b/>
      <w:bCs/>
      <w:sz w:val="18"/>
      <w:szCs w:val="24"/>
    </w:rPr>
  </w:style>
  <w:style w:type="paragraph" w:styleId="991" w:customStyle="1">
    <w:name w:val="普通(网站)1"/>
    <w:basedOn w:val="701"/>
    <w:uiPriority w:val="0"/>
    <w:qFormat/>
    <w:pPr>
      <w:jc w:val="left"/>
      <w:spacing w:before="100" w:beforeAutospacing="1" w:after="100" w:afterAutospacing="1"/>
      <w:widowControl/>
    </w:pPr>
    <w:rPr>
      <w:rFonts w:ascii="宋体" w:hAnsi="宋体"/>
      <w:color w:val="000000"/>
      <w:sz w:val="24"/>
    </w:rPr>
  </w:style>
  <w:style w:type="paragraph" w:styleId="992" w:customStyle="1">
    <w:name w:val="正文首行缩进11"/>
    <w:basedOn w:val="969"/>
    <w:link w:val="993"/>
    <w:uiPriority w:val="0"/>
    <w:qFormat/>
    <w:pPr>
      <w:ind w:firstLine="420"/>
      <w:spacing w:after="120"/>
    </w:pPr>
    <w:rPr>
      <w:rFonts w:ascii="Times New Roman" w:eastAsia="宋体"/>
      <w:szCs w:val="24"/>
    </w:rPr>
  </w:style>
  <w:style w:type="character" w:styleId="993" w:customStyle="1">
    <w:name w:val="正文首行缩进 Char"/>
    <w:link w:val="992"/>
    <w:uiPriority w:val="0"/>
    <w:qFormat/>
    <w:rPr>
      <w:rFonts w:ascii="Times New Roman" w:hAnsi="Times New Roman" w:eastAsia="宋体" w:cs="Times New Roman"/>
      <w:sz w:val="24"/>
      <w:szCs w:val="24"/>
    </w:rPr>
  </w:style>
  <w:style w:type="table" w:styleId="994" w:customStyle="1">
    <w:name w:val="网格型11"/>
    <w:basedOn w:val="950"/>
    <w:uiPriority w:val="59"/>
    <w:qFormat/>
    <w:tblPr/>
  </w:style>
  <w:style w:type="character" w:styleId="995" w:customStyle="1">
    <w:name w:val="要点1"/>
    <w:uiPriority w:val="0"/>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超链接11"/>
    <w:uiPriority w:val="0"/>
    <w:qFormat/>
    <w:rPr>
      <w:color w:val="0000ff"/>
      <w:u w:val="single"/>
    </w:rPr>
  </w:style>
  <w:style w:type="paragraph" w:styleId="999" w:customStyle="1">
    <w:name w:val="标题 41"/>
    <w:basedOn w:val="701"/>
    <w:next w:val="1000"/>
    <w:uiPriority w:val="0"/>
    <w:qFormat/>
    <w:pPr>
      <w:jc w:val="center"/>
      <w:keepNext/>
      <w:outlineLvl w:val="3"/>
    </w:pPr>
    <w:rPr>
      <w:rFonts w:eastAsia="新宋体"/>
      <w:sz w:val="30"/>
      <w:szCs w:val="21"/>
    </w:rPr>
  </w:style>
  <w:style w:type="paragraph" w:styleId="1000" w:customStyle="1">
    <w:name w:val="正文缩进1"/>
    <w:basedOn w:val="701"/>
    <w:uiPriority w:val="0"/>
    <w:qFormat/>
    <w:pPr>
      <w:ind w:firstLine="420"/>
      <w:jc w:val="left"/>
      <w:widowControl/>
    </w:pPr>
  </w:style>
  <w:style w:type="character" w:styleId="1001" w:customStyle="1">
    <w:name w:val="超链接1"/>
    <w:uiPriority w:val="99"/>
    <w:unhideWhenUsed/>
    <w:qFormat/>
    <w:rPr>
      <w:sz w:val="21"/>
      <w:szCs w:val="24"/>
      <w:lang w:val="en-US" w:eastAsia="zh-CN" w:bidi="ar-SA"/>
    </w:rPr>
  </w:style>
  <w:style w:type="paragraph" w:styleId="1002" w:customStyle="1">
    <w:name w:val="Default"/>
    <w:basedOn w:val="701"/>
    <w:next w:val="1003"/>
    <w:uiPriority w:val="0"/>
    <w:qFormat/>
    <w:pPr>
      <w:jc w:val="left"/>
    </w:pPr>
    <w:rPr>
      <w:rFonts w:ascii="Arial" w:hAnsi="Arial" w:eastAsia="PMingLiU"/>
      <w:sz w:val="20"/>
      <w:szCs w:val="20"/>
    </w:rPr>
  </w:style>
  <w:style w:type="paragraph" w:styleId="1003" w:customStyle="1">
    <w:name w:val="TOC 71"/>
    <w:next w:val="701"/>
    <w:uiPriority w:val="0"/>
    <w:qFormat/>
    <w:pPr>
      <w:ind w:left="2550"/>
      <w:jc w:val="both"/>
    </w:pPr>
    <w:rPr>
      <w:rFonts w:hint="default" w:ascii="Times New Roman" w:hAnsi="Times New Roman" w:eastAsia="宋体" w:cs="Times New Roman"/>
      <w:sz w:val="21"/>
      <w:szCs w:val="22"/>
      <w:lang w:val="en-US" w:eastAsia="zh-CN" w:bidi="ar-SA"/>
    </w:rPr>
  </w:style>
  <w:style w:type="paragraph" w:styleId="1004" w:customStyle="1">
    <w:name w:val="style4"/>
    <w:basedOn w:val="701"/>
    <w:next w:val="1005"/>
    <w:uiPriority w:val="0"/>
    <w:qFormat/>
    <w:pPr>
      <w:spacing w:before="280" w:after="280"/>
      <w:widowControl/>
    </w:pPr>
    <w:rPr>
      <w:rFonts w:ascii="宋体"/>
      <w:sz w:val="18"/>
    </w:rPr>
  </w:style>
  <w:style w:type="paragraph" w:styleId="1005" w:customStyle="1">
    <w:name w:val="2"/>
    <w:next w:val="7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6" w:customStyle="1">
    <w:name w:val="无间隔1"/>
    <w:uiPriority w:val="0"/>
    <w:qFormat/>
    <w:rPr>
      <w:rFonts w:hint="default" w:ascii="Times New Roman" w:hAnsi="Times New Roman" w:eastAsia="宋体" w:cs="Calibri"/>
      <w:sz w:val="22"/>
      <w:lang w:val="en-US" w:eastAsia="zh-CN" w:bidi="ar-SA"/>
    </w:rPr>
  </w:style>
  <w:style w:type="character" w:styleId="1007" w:customStyle="1">
    <w:name w:val="列出段落 Char"/>
    <w:link w:val="1008"/>
    <w:uiPriority w:val="99"/>
    <w:qFormat/>
  </w:style>
  <w:style w:type="paragraph" w:styleId="1008" w:customStyle="1">
    <w:name w:val="列出段落1"/>
    <w:basedOn w:val="701"/>
    <w:link w:val="1007"/>
    <w:uiPriority w:val="99"/>
    <w:qFormat/>
    <w:pPr>
      <w:ind w:firstLine="420"/>
    </w:pPr>
    <w:rPr>
      <w:sz w:val="20"/>
      <w:szCs w:val="20"/>
    </w:rPr>
  </w:style>
  <w:style w:type="character" w:styleId="1009" w:customStyle="1">
    <w:name w:val="文档结构图 Char1"/>
    <w:uiPriority w:val="99"/>
    <w:semiHidden/>
    <w:qFormat/>
    <w:rPr>
      <w:rFonts w:ascii="宋体" w:hAnsi="Times New Roman" w:eastAsia="宋体" w:cs="Times New Roman"/>
      <w:sz w:val="18"/>
      <w:szCs w:val="18"/>
    </w:rPr>
  </w:style>
  <w:style w:type="character" w:styleId="1010" w:customStyle="1">
    <w:name w:val="普通正文 Char"/>
    <w:link w:val="1011"/>
    <w:uiPriority w:val="0"/>
    <w:qFormat/>
    <w:rPr>
      <w:rFonts w:ascii="Arial" w:hAnsi="Arial"/>
      <w:sz w:val="24"/>
      <w:szCs w:val="24"/>
    </w:rPr>
  </w:style>
  <w:style w:type="paragraph" w:styleId="1011" w:customStyle="1">
    <w:name w:val="普通正文"/>
    <w:basedOn w:val="701"/>
    <w:link w:val="1010"/>
    <w:uiPriority w:val="0"/>
    <w:qFormat/>
    <w:pPr>
      <w:ind w:left="-2" w:right="120" w:firstLine="480"/>
      <w:jc w:val="center"/>
      <w:spacing w:before="120" w:after="120" w:line="360" w:lineRule="auto"/>
    </w:pPr>
    <w:rPr>
      <w:rFonts w:ascii="Arial" w:hAnsi="Arial"/>
      <w:sz w:val="24"/>
    </w:rPr>
  </w:style>
  <w:style w:type="character" w:styleId="1012" w:customStyle="1">
    <w:name w:val="FA正文 Char"/>
    <w:link w:val="1013"/>
    <w:uiPriority w:val="0"/>
    <w:qFormat/>
    <w:rPr>
      <w:rFonts w:ascii="宋体" w:hAnsi="宋体" w:eastAsia="宋体" w:cs="Times New Roman"/>
      <w:sz w:val="28"/>
      <w:szCs w:val="28"/>
    </w:rPr>
  </w:style>
  <w:style w:type="paragraph" w:styleId="1013" w:customStyle="1">
    <w:name w:val="FA正文"/>
    <w:basedOn w:val="701"/>
    <w:link w:val="1012"/>
    <w:uiPriority w:val="0"/>
    <w:qFormat/>
    <w:pPr>
      <w:ind w:firstLine="538"/>
      <w:spacing w:line="440" w:lineRule="atLeast"/>
      <w:tabs>
        <w:tab w:val="left" w:pos="3375" w:leader="none"/>
      </w:tabs>
    </w:pPr>
    <w:rPr>
      <w:rFonts w:ascii="宋体" w:hAnsi="宋体"/>
      <w:sz w:val="28"/>
      <w:szCs w:val="28"/>
    </w:rPr>
  </w:style>
  <w:style w:type="character" w:styleId="1014" w:customStyle="1">
    <w:name w:val="正文缩进2格 Char"/>
    <w:link w:val="1015"/>
    <w:uiPriority w:val="0"/>
    <w:qFormat/>
    <w:rPr>
      <w:rFonts w:ascii="仿宋_GB2312" w:hAnsi="宋体" w:eastAsia="仿宋_GB2312" w:cs="Times New Roman"/>
      <w:sz w:val="31"/>
      <w:szCs w:val="28"/>
    </w:rPr>
  </w:style>
  <w:style w:type="paragraph" w:styleId="1015" w:customStyle="1">
    <w:name w:val="正文缩进2格"/>
    <w:basedOn w:val="701"/>
    <w:link w:val="1014"/>
    <w:uiPriority w:val="0"/>
    <w:qFormat/>
    <w:pPr>
      <w:ind w:firstLine="639"/>
      <w:spacing w:line="600" w:lineRule="exact"/>
    </w:pPr>
    <w:rPr>
      <w:rFonts w:ascii="仿宋_GB2312" w:hAnsi="宋体" w:eastAsia="仿宋_GB2312"/>
      <w:sz w:val="31"/>
      <w:szCs w:val="28"/>
    </w:rPr>
  </w:style>
  <w:style w:type="character" w:styleId="1016" w:customStyle="1">
    <w:name w:val="cn_text1"/>
    <w:uiPriority w:val="0"/>
    <w:qFormat/>
    <w:rPr>
      <w:rFonts w:ascii="ˎ̥" w:hAnsi="ˎ̥"/>
      <w:color w:val="003399"/>
      <w:spacing w:val="15"/>
      <w:sz w:val="18"/>
      <w:szCs w:val="18"/>
    </w:rPr>
  </w:style>
  <w:style w:type="character" w:styleId="1017" w:customStyle="1">
    <w:name w:val="ssss Char"/>
    <w:uiPriority w:val="0"/>
    <w:qFormat/>
    <w:rPr>
      <w:rFonts w:eastAsia="宋体"/>
      <w:sz w:val="24"/>
      <w:szCs w:val="24"/>
      <w:lang w:val="en-US" w:eastAsia="zh-CN" w:bidi="ar-SA"/>
    </w:rPr>
  </w:style>
  <w:style w:type="character" w:styleId="1018" w:customStyle="1">
    <w:name w:val="ssss Char1"/>
    <w:link w:val="1019"/>
    <w:uiPriority w:val="0"/>
    <w:qFormat/>
    <w:rPr>
      <w:rFonts w:ascii="Times New Roman" w:hAnsi="Times New Roman" w:eastAsia="宋体" w:cs="Times New Roman"/>
      <w:sz w:val="24"/>
      <w:szCs w:val="24"/>
    </w:rPr>
  </w:style>
  <w:style w:type="paragraph" w:styleId="1019" w:customStyle="1">
    <w:name w:val="ssss"/>
    <w:basedOn w:val="701"/>
    <w:link w:val="1018"/>
    <w:uiPriority w:val="0"/>
    <w:qFormat/>
    <w:pPr>
      <w:ind w:firstLine="480"/>
      <w:spacing w:line="360" w:lineRule="auto"/>
    </w:pPr>
    <w:rPr>
      <w:sz w:val="24"/>
    </w:rPr>
  </w:style>
  <w:style w:type="character" w:styleId="1020" w:customStyle="1">
    <w:name w:val="标题 4 Char1"/>
    <w:uiPriority w:val="0"/>
    <w:qFormat/>
    <w:rPr>
      <w:rFonts w:ascii="Arial" w:hAnsi="Arial" w:eastAsia="黑体"/>
      <w:b/>
      <w:bCs/>
      <w:sz w:val="28"/>
      <w:szCs w:val="28"/>
      <w:lang w:val="en-US" w:eastAsia="zh-CN" w:bidi="ar-SA"/>
    </w:rPr>
  </w:style>
  <w:style w:type="character" w:styleId="1021" w:customStyle="1">
    <w:name w:val="列表段落 字符"/>
    <w:uiPriority w:val="34"/>
    <w:qFormat/>
    <w:rPr>
      <w:rFonts w:ascii="Calibri" w:hAnsi="Calibri"/>
      <w:sz w:val="21"/>
      <w:szCs w:val="22"/>
    </w:rPr>
  </w:style>
  <w:style w:type="character" w:styleId="1022" w:customStyle="1">
    <w:name w:val="批注框文本 Char1"/>
    <w:uiPriority w:val="99"/>
    <w:semiHidden/>
    <w:qFormat/>
    <w:rPr>
      <w:rFonts w:ascii="Times New Roman" w:hAnsi="Times New Roman" w:eastAsia="宋体" w:cs="Times New Roman"/>
      <w:sz w:val="18"/>
      <w:szCs w:val="18"/>
    </w:rPr>
  </w:style>
  <w:style w:type="character" w:styleId="1023" w:customStyle="1">
    <w:name w:val="样式 ssss + 宋体 五号1 Char"/>
    <w:link w:val="1024"/>
    <w:uiPriority w:val="0"/>
    <w:qFormat/>
    <w:rPr>
      <w:rFonts w:ascii="宋体" w:hAnsi="宋体" w:eastAsia="宋体" w:cs="Times New Roman"/>
      <w:sz w:val="24"/>
      <w:szCs w:val="24"/>
    </w:rPr>
  </w:style>
  <w:style w:type="paragraph" w:styleId="1024" w:customStyle="1">
    <w:name w:val="样式 ssss + 宋体 五号1"/>
    <w:basedOn w:val="1019"/>
    <w:link w:val="1023"/>
    <w:uiPriority w:val="0"/>
    <w:qFormat/>
    <w:rPr>
      <w:rFonts w:ascii="宋体" w:hAnsi="宋体"/>
    </w:rPr>
  </w:style>
  <w:style w:type="character" w:styleId="1025" w:customStyle="1">
    <w:name w:val="point_normal1"/>
    <w:uiPriority w:val="0"/>
    <w:qFormat/>
    <w:rPr>
      <w:rFonts w:ascii="Arial" w:hAnsi="Arial" w:cs="Arial"/>
      <w:sz w:val="16"/>
      <w:szCs w:val="16"/>
    </w:rPr>
  </w:style>
  <w:style w:type="paragraph" w:styleId="1026" w:customStyle="1">
    <w:name w:val="样式 正文文本缩进 3 + 四号"/>
    <w:basedOn w:val="987"/>
    <w:uiPriority w:val="0"/>
    <w:qFormat/>
    <w:pPr>
      <w:ind w:left="0" w:firstLine="437"/>
      <w:spacing w:after="0" w:line="360" w:lineRule="auto"/>
    </w:pPr>
    <w:rPr>
      <w:sz w:val="24"/>
      <w:szCs w:val="21"/>
    </w:rPr>
  </w:style>
  <w:style w:type="paragraph" w:styleId="1027" w:customStyle="1">
    <w:name w:val="2cxsplast"/>
    <w:basedOn w:val="701"/>
    <w:uiPriority w:val="0"/>
    <w:qFormat/>
    <w:pPr>
      <w:jc w:val="left"/>
      <w:spacing w:before="100" w:beforeAutospacing="1" w:after="100" w:afterAutospacing="1"/>
      <w:widowControl/>
    </w:pPr>
    <w:rPr>
      <w:rFonts w:ascii="宋体" w:hAnsi="宋体" w:cs="宋体"/>
      <w:sz w:val="24"/>
    </w:rPr>
  </w:style>
  <w:style w:type="paragraph" w:styleId="1028" w:customStyle="1">
    <w:name w:val="ec_msonormal"/>
    <w:basedOn w:val="701"/>
    <w:uiPriority w:val="0"/>
    <w:qFormat/>
    <w:pPr>
      <w:jc w:val="left"/>
      <w:spacing w:before="100" w:beforeAutospacing="1" w:after="100" w:afterAutospacing="1"/>
      <w:widowControl/>
    </w:pPr>
    <w:rPr>
      <w:rFonts w:ascii="宋体" w:hAnsi="宋体"/>
      <w:sz w:val="24"/>
    </w:rPr>
  </w:style>
  <w:style w:type="paragraph" w:styleId="1029" w:customStyle="1">
    <w:name w:val="Char Char Char Char"/>
    <w:basedOn w:val="701"/>
    <w:uiPriority w:val="0"/>
    <w:qFormat/>
    <w:rPr>
      <w:rFonts w:ascii="Tahoma" w:hAnsi="Tahoma"/>
      <w:sz w:val="24"/>
      <w:szCs w:val="20"/>
    </w:rPr>
  </w:style>
  <w:style w:type="paragraph" w:styleId="1030" w:customStyle="1">
    <w:name w:val="Char Char Char Char Char Char Char Char Char Char Char Char Char"/>
    <w:basedOn w:val="701"/>
    <w:uiPriority w:val="0"/>
    <w:qFormat/>
  </w:style>
  <w:style w:type="paragraph" w:styleId="1031" w:customStyle="1">
    <w:name w:val="表格正文"/>
    <w:basedOn w:val="701"/>
    <w:uiPriority w:val="0"/>
    <w:qFormat/>
    <w:pPr>
      <w:jc w:val="left"/>
      <w:spacing w:line="360" w:lineRule="auto"/>
    </w:pPr>
    <w:rPr>
      <w:rFonts w:ascii="Calibri" w:hAnsi="Calibri"/>
      <w:color w:val="000000"/>
      <w:szCs w:val="28"/>
    </w:rPr>
  </w:style>
  <w:style w:type="paragraph" w:styleId="1032" w:customStyle="1">
    <w:name w:val="正文1"/>
    <w:next w:val="70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33" w:customStyle="1">
    <w:name w:val="Char Char Char Char1"/>
    <w:basedOn w:val="701"/>
    <w:uiPriority w:val="0"/>
    <w:qFormat/>
    <w:rPr>
      <w:rFonts w:ascii="Tahoma" w:hAnsi="Tahoma"/>
      <w:sz w:val="24"/>
      <w:szCs w:val="20"/>
    </w:rPr>
  </w:style>
  <w:style w:type="paragraph" w:styleId="1034" w:customStyle="1">
    <w:name w:val="Char Char Char"/>
    <w:basedOn w:val="701"/>
    <w:uiPriority w:val="0"/>
    <w:qFormat/>
    <w:rPr>
      <w:rFonts w:ascii="Tahoma" w:hAnsi="Tahoma"/>
      <w:sz w:val="24"/>
      <w:szCs w:val="20"/>
    </w:rPr>
  </w:style>
  <w:style w:type="paragraph" w:styleId="1035" w:customStyle="1">
    <w:name w:val="标题-----3"/>
    <w:basedOn w:val="940"/>
    <w:uiPriority w:val="0"/>
    <w:qFormat/>
    <w:pPr>
      <w:spacing w:before="0" w:after="0" w:line="240" w:lineRule="auto"/>
      <w:outlineLvl w:val="0"/>
    </w:pPr>
    <w:rPr>
      <w:rFonts w:ascii="宋体" w:hAnsi="宋体"/>
      <w:b w:val="0"/>
      <w:bCs w:val="0"/>
      <w:sz w:val="28"/>
      <w:szCs w:val="28"/>
    </w:rPr>
  </w:style>
  <w:style w:type="paragraph" w:styleId="1036" w:customStyle="1">
    <w:name w:val="样式 ssss + 居中"/>
    <w:basedOn w:val="1019"/>
    <w:uiPriority w:val="0"/>
    <w:qFormat/>
    <w:pPr>
      <w:jc w:val="center"/>
    </w:pPr>
    <w:rPr>
      <w:rFonts w:cs="宋体"/>
      <w:szCs w:val="20"/>
    </w:rPr>
  </w:style>
  <w:style w:type="paragraph" w:styleId="1037" w:customStyle="1">
    <w:name w:val="样式 宋体 四号 黑色 左侧:  0.74 厘米 首行缩进:  0.74 厘米 行距: 1.5 倍行距"/>
    <w:basedOn w:val="701"/>
    <w:uiPriority w:val="0"/>
    <w:qFormat/>
    <w:pPr>
      <w:ind w:firstLine="420"/>
      <w:spacing w:line="360" w:lineRule="auto"/>
    </w:pPr>
    <w:rPr>
      <w:rFonts w:ascii="宋体"/>
      <w:color w:val="000000"/>
      <w:sz w:val="24"/>
      <w:szCs w:val="21"/>
    </w:rPr>
  </w:style>
  <w:style w:type="paragraph" w:styleId="1038" w:customStyle="1">
    <w:name w:val="样式 样式 ssss + 宋体 五号 + 首行缩进:  2 字符"/>
    <w:basedOn w:val="1039"/>
    <w:uiPriority w:val="0"/>
    <w:qFormat/>
    <w:pPr>
      <w:ind w:firstLine="480"/>
    </w:pPr>
  </w:style>
  <w:style w:type="paragraph" w:styleId="1039" w:customStyle="1">
    <w:name w:val="样式 ssss + 宋体 五号"/>
    <w:basedOn w:val="1019"/>
    <w:uiPriority w:val="0"/>
    <w:qFormat/>
    <w:pPr>
      <w:ind w:firstLine="420"/>
    </w:pPr>
    <w:rPr>
      <w:rFonts w:ascii="宋体" w:hAnsi="宋体" w:cs="宋体"/>
      <w:szCs w:val="20"/>
    </w:rPr>
  </w:style>
  <w:style w:type="paragraph" w:styleId="1040" w:customStyle="1">
    <w:name w:val="msonormalcxsplast"/>
    <w:basedOn w:val="701"/>
    <w:uiPriority w:val="0"/>
    <w:qFormat/>
    <w:pPr>
      <w:jc w:val="left"/>
      <w:spacing w:before="100" w:beforeAutospacing="1" w:after="100" w:afterAutospacing="1"/>
      <w:widowControl/>
    </w:pPr>
    <w:rPr>
      <w:rFonts w:ascii="宋体" w:hAnsi="宋体" w:cs="宋体"/>
      <w:sz w:val="24"/>
    </w:rPr>
  </w:style>
  <w:style w:type="paragraph" w:styleId="1041" w:customStyle="1">
    <w:name w:val="Char"/>
    <w:basedOn w:val="701"/>
    <w:uiPriority w:val="0"/>
    <w:qFormat/>
    <w:rPr>
      <w:rFonts w:ascii="Tahoma" w:hAnsi="Tahoma"/>
      <w:sz w:val="24"/>
      <w:szCs w:val="20"/>
    </w:rPr>
  </w:style>
  <w:style w:type="paragraph" w:styleId="1042" w:customStyle="1">
    <w:name w:val="xl25"/>
    <w:basedOn w:val="70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3" w:customStyle="1">
    <w:name w:val="标题------4"/>
    <w:basedOn w:val="94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44" w:customStyle="1">
    <w:name w:val="msonormalcxspmiddle"/>
    <w:basedOn w:val="701"/>
    <w:uiPriority w:val="0"/>
    <w:qFormat/>
    <w:pPr>
      <w:jc w:val="left"/>
      <w:spacing w:before="100" w:beforeAutospacing="1" w:after="100" w:afterAutospacing="1"/>
      <w:widowControl/>
    </w:pPr>
    <w:rPr>
      <w:rFonts w:ascii="宋体" w:hAnsi="宋体" w:cs="宋体"/>
      <w:sz w:val="24"/>
    </w:rPr>
  </w:style>
  <w:style w:type="paragraph" w:styleId="1045" w:customStyle="1">
    <w:name w:val="Char Char Char Char Char Char Char Char Char Char Char Char Char1"/>
    <w:basedOn w:val="701"/>
    <w:uiPriority w:val="0"/>
    <w:qFormat/>
    <w:rPr>
      <w:sz w:val="24"/>
    </w:rPr>
  </w:style>
  <w:style w:type="paragraph" w:styleId="1046" w:customStyle="1">
    <w:name w:val="表格"/>
    <w:basedOn w:val="701"/>
    <w:uiPriority w:val="0"/>
    <w:qFormat/>
    <w:rPr>
      <w:rFonts w:ascii="Arial" w:hAnsi="Arial"/>
      <w:sz w:val="24"/>
    </w:rPr>
  </w:style>
  <w:style w:type="paragraph" w:styleId="1047" w:customStyle="1">
    <w:name w:val="正文样式1"/>
    <w:basedOn w:val="701"/>
    <w:uiPriority w:val="0"/>
    <w:qFormat/>
    <w:pPr>
      <w:ind w:firstLine="480"/>
      <w:spacing w:before="120" w:after="120" w:line="360" w:lineRule="auto"/>
    </w:pPr>
    <w:rPr>
      <w:sz w:val="24"/>
      <w:szCs w:val="20"/>
    </w:rPr>
  </w:style>
  <w:style w:type="paragraph" w:styleId="1048" w:customStyle="1">
    <w:name w:val="Char Char1 Char Char Char Char Char Char"/>
    <w:basedOn w:val="701"/>
    <w:uiPriority w:val="0"/>
    <w:qFormat/>
    <w:pPr>
      <w:jc w:val="left"/>
      <w:spacing w:after="160" w:line="240" w:lineRule="exact"/>
      <w:widowControl/>
    </w:pPr>
    <w:rPr>
      <w:rFonts w:ascii="Verdana" w:hAnsi="Verdana" w:eastAsia="仿宋_GB2312"/>
      <w:sz w:val="24"/>
      <w:szCs w:val="20"/>
      <w:lang w:eastAsia="en-US"/>
    </w:rPr>
  </w:style>
  <w:style w:type="paragraph" w:styleId="1049" w:customStyle="1">
    <w:name w:val="Char Char Char Char Char Char Char Char Char Char"/>
    <w:basedOn w:val="701"/>
    <w:uiPriority w:val="0"/>
    <w:qFormat/>
    <w:rPr>
      <w:rFonts w:ascii="Tahoma" w:hAnsi="Tahoma"/>
      <w:sz w:val="24"/>
      <w:szCs w:val="20"/>
    </w:rPr>
  </w:style>
  <w:style w:type="paragraph" w:styleId="1050" w:customStyle="1">
    <w:name w:val="Char1"/>
    <w:basedOn w:val="701"/>
    <w:uiPriority w:val="0"/>
    <w:qFormat/>
    <w:pPr>
      <w:tabs>
        <w:tab w:val="left" w:pos="360" w:leader="none"/>
      </w:tabs>
    </w:pPr>
    <w:rPr>
      <w:sz w:val="24"/>
    </w:rPr>
  </w:style>
  <w:style w:type="paragraph" w:styleId="1051" w:customStyle="1">
    <w:name w:val="标题1"/>
    <w:basedOn w:val="701"/>
    <w:next w:val="7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Header2"/>
    <w:basedOn w:val="701"/>
    <w:uiPriority w:val="0"/>
    <w:qFormat/>
    <w:pPr>
      <w:numPr>
        <w:ilvl w:val="0"/>
        <w:numId w:val="1"/>
      </w:numPr>
    </w:pPr>
  </w:style>
  <w:style w:type="paragraph" w:styleId="1053" w:customStyle="1">
    <w:name w:val="Char Char 字元 字元 字元 Char Char Char Char"/>
    <w:basedOn w:val="701"/>
    <w:uiPriority w:val="0"/>
    <w:qFormat/>
    <w:pPr>
      <w:spacing w:line="360" w:lineRule="auto"/>
    </w:pPr>
    <w:rPr>
      <w:sz w:val="24"/>
      <w:szCs w:val="20"/>
    </w:rPr>
  </w:style>
  <w:style w:type="paragraph" w:styleId="1054" w:customStyle="1">
    <w:name w:val="2cxspmiddle"/>
    <w:basedOn w:val="701"/>
    <w:uiPriority w:val="0"/>
    <w:qFormat/>
    <w:pPr>
      <w:jc w:val="left"/>
      <w:spacing w:before="100" w:beforeAutospacing="1" w:after="100" w:afterAutospacing="1"/>
      <w:widowControl/>
    </w:pPr>
    <w:rPr>
      <w:rFonts w:ascii="宋体" w:hAnsi="宋体" w:cs="宋体"/>
      <w:sz w:val="24"/>
    </w:rPr>
  </w:style>
  <w:style w:type="paragraph" w:styleId="105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57" w:customStyle="1">
    <w:name w:val="网格型1"/>
    <w:basedOn w:val="950"/>
    <w:uiPriority w:val="39"/>
    <w:qFormat/>
    <w:rPr>
      <w:rFonts w:ascii="等线" w:hAnsi="等线" w:eastAsia="等线"/>
      <w:sz w:val="21"/>
      <w:szCs w:val="22"/>
    </w:rPr>
    <w:tblPr/>
  </w:style>
  <w:style w:type="paragraph" w:styleId="1058" w:customStyle="1">
    <w:name w:val="列出段落11"/>
    <w:basedOn w:val="701"/>
    <w:uiPriority w:val="34"/>
    <w:qFormat/>
    <w:pPr>
      <w:contextualSpacing/>
      <w:ind w:left="720"/>
      <w:jc w:val="left"/>
      <w:widowControl/>
    </w:pPr>
    <w:rPr>
      <w:sz w:val="24"/>
      <w:lang w:eastAsia="en-US" w:bidi="en-US"/>
    </w:rPr>
  </w:style>
  <w:style w:type="paragraph" w:styleId="1059" w:customStyle="1">
    <w:name w:val="DAS正文"/>
    <w:basedOn w:val="701"/>
    <w:uiPriority w:val="0"/>
    <w:qFormat/>
    <w:pPr>
      <w:ind w:right="181" w:firstLine="480"/>
      <w:spacing w:line="360" w:lineRule="auto"/>
    </w:pPr>
    <w:rPr>
      <w:rFonts w:ascii="Verdana" w:hAnsi="Verdana"/>
      <w:sz w:val="24"/>
      <w:szCs w:val="20"/>
    </w:rPr>
  </w:style>
  <w:style w:type="paragraph" w:styleId="1060" w:customStyle="1">
    <w:name w:val="普通(网站) Char"/>
    <w:basedOn w:val="701"/>
    <w:uiPriority w:val="99"/>
    <w:qFormat/>
    <w:pPr>
      <w:jc w:val="left"/>
      <w:spacing w:before="100" w:beforeAutospacing="1" w:after="100" w:afterAutospacing="1"/>
      <w:widowControl/>
    </w:pPr>
    <w:rPr>
      <w:rFonts w:ascii="宋体" w:hAnsi="宋体" w:cs="宋体"/>
      <w:sz w:val="24"/>
    </w:rPr>
  </w:style>
  <w:style w:type="paragraph" w:styleId="1061" w:customStyle="1">
    <w:name w:val="无间隔2"/>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62" w:customStyle="1">
    <w:name w:val="首行缩进"/>
    <w:basedOn w:val="701"/>
    <w:uiPriority w:val="99"/>
    <w:qFormat/>
    <w:pPr>
      <w:ind w:firstLine="480"/>
    </w:pPr>
    <w:rPr>
      <w:rFonts w:ascii="等线" w:hAnsi="等线" w:eastAsia="等线"/>
      <w:szCs w:val="22"/>
      <w:lang w:val="zh-CN"/>
    </w:rPr>
  </w:style>
  <w:style w:type="paragraph" w:styleId="1063" w:customStyle="1">
    <w:name w:val="p0"/>
    <w:basedOn w:val="701"/>
    <w:uiPriority w:val="0"/>
    <w:qFormat/>
    <w:pPr>
      <w:widowControl/>
    </w:pPr>
    <w:rPr>
      <w:sz w:val="20"/>
      <w:szCs w:val="21"/>
      <w:lang w:val="zh-CN"/>
    </w:rPr>
  </w:style>
  <w:style w:type="paragraph" w:styleId="1064" w:customStyle="1">
    <w:name w:val="Table Text"/>
    <w:basedOn w:val="701"/>
    <w:uiPriority w:val="0"/>
    <w:semiHidden/>
    <w:qFormat/>
    <w:rPr>
      <w:rFonts w:ascii="仿宋" w:hAnsi="仿宋" w:eastAsia="仿宋" w:cs="仿宋"/>
      <w:sz w:val="24"/>
      <w:lang w:eastAsia="en-US"/>
    </w:rPr>
  </w:style>
  <w:style w:type="table" w:styleId="1065" w:customStyle="1">
    <w:name w:val="Table Normal"/>
    <w:uiPriority w:val="0"/>
    <w:unhideWhenUsed/>
    <w:qFormat/>
    <w:tblPr>
      <w:tblCellMar>
        <w:left w:w="0" w:type="dxa"/>
        <w:top w:w="0" w:type="dxa"/>
        <w:right w:w="0" w:type="dxa"/>
        <w:bottom w:w="0" w:type="dxa"/>
      </w:tblCellMar>
    </w:tblPr>
  </w:style>
  <w:style w:type="character" w:styleId="1066" w:customStyle="1">
    <w:name w:val="NormalCharacter1"/>
    <w:uiPriority w:val="99"/>
    <w:qFormat/>
  </w:style>
  <w:style w:type="character" w:styleId="1067" w:customStyle="1">
    <w:name w:val="font31"/>
    <w:basedOn w:val="949"/>
    <w:uiPriority w:val="0"/>
    <w:qFormat/>
    <w:rPr>
      <w:rFonts w:ascii="Times New Roman Regular" w:hAnsi="Times New Roman Regular" w:eastAsia="Times New Roman Regular" w:cs="Times New Roman Regular"/>
      <w:color w:val="000000"/>
      <w:sz w:val="24"/>
      <w:szCs w:val="24"/>
      <w:u w:val="none"/>
    </w:rPr>
  </w:style>
  <w:style w:type="character" w:styleId="1068" w:customStyle="1">
    <w:name w:val="font91"/>
    <w:basedOn w:val="949"/>
    <w:uiPriority w:val="0"/>
    <w:qFormat/>
    <w:rPr>
      <w:rFonts w:ascii="Times New Roman" w:hAnsi="Times New Roman" w:cs="Times New Roman"/>
      <w:color w:val="000000"/>
      <w:sz w:val="20"/>
      <w:szCs w:val="20"/>
      <w:u w:val="none"/>
    </w:rPr>
  </w:style>
  <w:style w:type="character" w:styleId="1069" w:customStyle="1">
    <w:name w:val="font11"/>
    <w:basedOn w:val="949"/>
    <w:uiPriority w:val="0"/>
    <w:qFormat/>
    <w:rPr>
      <w:rFonts w:hint="eastAsia" w:ascii="宋体" w:hAnsi="宋体" w:eastAsia="宋体" w:cs="宋体"/>
      <w:color w:val="000000"/>
      <w:sz w:val="20"/>
      <w:szCs w:val="20"/>
      <w:u w:val="none"/>
    </w:rPr>
  </w:style>
  <w:style w:type="character" w:styleId="1070" w:customStyle="1">
    <w:name w:val="font101"/>
    <w:basedOn w:val="949"/>
    <w:uiPriority w:val="0"/>
    <w:qFormat/>
    <w:rPr>
      <w:rFonts w:ascii="Arial" w:hAnsi="Arial" w:cs="Arial"/>
      <w:color w:val="000000"/>
      <w:sz w:val="20"/>
      <w:szCs w:val="20"/>
      <w:u w:val="none"/>
    </w:rPr>
  </w:style>
  <w:style w:type="character" w:styleId="1071" w:customStyle="1">
    <w:name w:val="font291"/>
    <w:basedOn w:val="949"/>
    <w:uiPriority w:val="0"/>
    <w:qFormat/>
    <w:rPr>
      <w:rFonts w:hint="eastAsia" w:ascii="宋体" w:hAnsi="宋体" w:eastAsia="宋体" w:cs="宋体"/>
      <w:color w:val="000000"/>
      <w:sz w:val="20"/>
      <w:szCs w:val="20"/>
      <w:u w:val="none"/>
    </w:rPr>
  </w:style>
  <w:style w:type="character" w:styleId="1072" w:customStyle="1">
    <w:name w:val="font61"/>
    <w:basedOn w:val="949"/>
    <w:uiPriority w:val="0"/>
    <w:qFormat/>
    <w:rPr>
      <w:rFonts w:hint="eastAsia" w:ascii="等线" w:hAnsi="等线" w:eastAsia="等线" w:cs="等线"/>
      <w:color w:val="000000"/>
      <w:sz w:val="20"/>
      <w:szCs w:val="20"/>
      <w:u w:val="none"/>
    </w:rPr>
  </w:style>
  <w:style w:type="character" w:styleId="1073" w:customStyle="1">
    <w:name w:val="font71"/>
    <w:basedOn w:val="949"/>
    <w:uiPriority w:val="0"/>
    <w:qFormat/>
    <w:rPr>
      <w:rFonts w:hint="eastAsia" w:ascii="宋体" w:hAnsi="宋体" w:eastAsia="宋体" w:cs="宋体"/>
      <w:color w:val="000000"/>
      <w:sz w:val="20"/>
      <w:szCs w:val="20"/>
      <w:u w:val="none"/>
    </w:rPr>
  </w:style>
  <w:style w:type="character" w:styleId="1074" w:customStyle="1">
    <w:name w:val="font41"/>
    <w:basedOn w:val="949"/>
    <w:uiPriority w:val="0"/>
    <w:qFormat/>
    <w:rPr>
      <w:rFonts w:ascii="Times New Roman Regular" w:hAnsi="Times New Roman Regular" w:eastAsia="Times New Roman Regular" w:cs="Times New Roman Regular"/>
      <w:color w:val="000000"/>
      <w:sz w:val="20"/>
      <w:szCs w:val="20"/>
      <w:u w:val="none"/>
    </w:rPr>
  </w:style>
  <w:style w:type="character" w:styleId="1075" w:customStyle="1">
    <w:name w:val="font301"/>
    <w:basedOn w:val="949"/>
    <w:uiPriority w:val="0"/>
    <w:qFormat/>
    <w:rPr>
      <w:rFonts w:ascii="Times New Roman Regular" w:hAnsi="Times New Roman Regular" w:eastAsia="Times New Roman Regular" w:cs="Times New Roman Regular"/>
      <w:color w:val="000000"/>
      <w:sz w:val="20"/>
      <w:szCs w:val="20"/>
      <w:u w:val="none"/>
    </w:rPr>
  </w:style>
  <w:style w:type="character" w:styleId="1076" w:customStyle="1">
    <w:name w:val="font81"/>
    <w:basedOn w:val="949"/>
    <w:uiPriority w:val="0"/>
    <w:qFormat/>
    <w:rPr>
      <w:rFonts w:hint="eastAsia" w:ascii="宋体" w:hAnsi="宋体" w:eastAsia="宋体" w:cs="宋体"/>
      <w:color w:val="000000"/>
      <w:sz w:val="20"/>
      <w:szCs w:val="20"/>
      <w:u w:val="none"/>
    </w:rPr>
  </w:style>
  <w:style w:type="character" w:styleId="1077" w:customStyle="1">
    <w:name w:val="font112"/>
    <w:basedOn w:val="949"/>
    <w:uiPriority w:val="0"/>
    <w:qFormat/>
    <w:rPr>
      <w:rFonts w:hint="eastAsia" w:ascii="等线" w:hAnsi="等线" w:eastAsia="等线" w:cs="等线"/>
      <w:color w:val="000000"/>
      <w:sz w:val="20"/>
      <w:szCs w:val="20"/>
      <w:u w:val="none"/>
    </w:rPr>
  </w:style>
  <w:style w:type="character" w:styleId="1078" w:customStyle="1">
    <w:name w:val="font312"/>
    <w:basedOn w:val="949"/>
    <w:uiPriority w:val="0"/>
    <w:qFormat/>
    <w:rPr>
      <w:rFonts w:ascii="Arial" w:hAnsi="Arial" w:cs="Arial"/>
      <w:color w:val="000000"/>
      <w:sz w:val="20"/>
      <w:szCs w:val="20"/>
      <w:u w:val="none"/>
    </w:rPr>
  </w:style>
  <w:style w:type="character" w:styleId="1079" w:customStyle="1">
    <w:name w:val="font321"/>
    <w:basedOn w:val="949"/>
    <w:uiPriority w:val="0"/>
    <w:qFormat/>
    <w:rPr>
      <w:rFonts w:ascii="微软雅黑" w:hAnsi="微软雅黑" w:eastAsia="微软雅黑" w:cs="微软雅黑"/>
      <w:color w:val="000000"/>
      <w:sz w:val="20"/>
      <w:szCs w:val="20"/>
      <w:u w:val="none"/>
    </w:rPr>
  </w:style>
  <w:style w:type="character" w:styleId="1080" w:customStyle="1">
    <w:name w:val="font151"/>
    <w:basedOn w:val="949"/>
    <w:uiPriority w:val="0"/>
    <w:qFormat/>
    <w:rPr>
      <w:rFonts w:hint="eastAsia" w:ascii="宋体" w:hAnsi="宋体" w:eastAsia="宋体" w:cs="宋体"/>
      <w:color w:val="000000"/>
      <w:sz w:val="22"/>
      <w:szCs w:val="22"/>
      <w:u w:val="none"/>
    </w:rPr>
  </w:style>
  <w:style w:type="character" w:styleId="1081" w:customStyle="1">
    <w:name w:val="font121"/>
    <w:basedOn w:val="949"/>
    <w:uiPriority w:val="0"/>
    <w:qFormat/>
    <w:rPr>
      <w:rFonts w:hint="eastAsia" w:ascii="宋体" w:hAnsi="宋体" w:eastAsia="宋体" w:cs="宋体"/>
      <w:b/>
      <w:bCs/>
      <w:color w:val="000000"/>
      <w:sz w:val="20"/>
      <w:szCs w:val="20"/>
      <w:u w:val="none"/>
    </w:rPr>
  </w:style>
  <w:style w:type="character" w:styleId="1082" w:customStyle="1">
    <w:name w:val="font21"/>
    <w:basedOn w:val="949"/>
    <w:uiPriority w:val="0"/>
    <w:qFormat/>
    <w:rPr>
      <w:rFonts w:hint="eastAsia" w:ascii="宋体" w:hAnsi="宋体" w:eastAsia="宋体" w:cs="宋体"/>
      <w:b/>
      <w:bCs/>
      <w:color w:val="000000"/>
      <w:sz w:val="24"/>
      <w:szCs w:val="24"/>
      <w:u w:val="none"/>
    </w:rPr>
  </w:style>
  <w:style w:type="character" w:styleId="1083" w:customStyle="1">
    <w:name w:val="font131"/>
    <w:basedOn w:val="949"/>
    <w:uiPriority w:val="0"/>
    <w:qFormat/>
    <w:rPr>
      <w:rFonts w:ascii="宋体" w:hAnsi="宋体" w:eastAsia="宋体" w:cs="宋体"/>
      <w:b/>
      <w:bCs/>
      <w:color w:val="000000"/>
      <w:sz w:val="24"/>
      <w:szCs w:val="24"/>
      <w:u w:val="none"/>
    </w:rPr>
  </w:style>
  <w:style w:type="character" w:styleId="1084" w:customStyle="1">
    <w:name w:val="font141"/>
    <w:basedOn w:val="949"/>
    <w:uiPriority w:val="0"/>
    <w:qFormat/>
    <w:rPr>
      <w:rFonts w:ascii="微软雅黑" w:hAnsi="微软雅黑" w:eastAsia="微软雅黑" w:cs="微软雅黑"/>
      <w:color w:val="000000"/>
      <w:sz w:val="24"/>
      <w:szCs w:val="24"/>
      <w:u w:val="none"/>
    </w:rPr>
  </w:style>
  <w:style w:type="paragraph" w:styleId="1085" w:customStyle="1">
    <w:name w:val="be358f00-9758-446e-aec5-cde8345aeef3"/>
    <w:basedOn w:val="969"/>
    <w:uiPriority w:val="0"/>
    <w:qFormat/>
    <w:pPr>
      <w:ind w:firstLine="440"/>
      <w:jc w:val="left"/>
      <w:spacing w:line="360" w:lineRule="auto"/>
      <w:widowControl/>
    </w:pPr>
    <w:rPr>
      <w:rFonts w:ascii="微软雅黑" w:hAnsi="微软雅黑" w:eastAsia="微软雅黑"/>
      <w:color w:val="000000"/>
      <w:sz w:val="22"/>
    </w:rPr>
  </w:style>
  <w:style w:type="character" w:styleId="1086" w:customStyle="1">
    <w:name w:val="批注框文本 字符"/>
    <w:basedOn w:val="711"/>
    <w:link w:val="727"/>
    <w:uiPriority w:val="99"/>
    <w:semiHidden/>
    <w:qFormat/>
    <w:rPr>
      <w:sz w:val="18"/>
      <w:szCs w:val="18"/>
    </w:rPr>
  </w:style>
  <w:style w:type="character" w:styleId="1087" w:customStyle="1">
    <w:name w:val="批注文字 字符"/>
    <w:basedOn w:val="711"/>
    <w:link w:val="717"/>
    <w:uiPriority w:val="99"/>
    <w:semiHidden/>
    <w:qFormat/>
    <w:rPr>
      <w:sz w:val="21"/>
      <w:szCs w:val="24"/>
    </w:rPr>
  </w:style>
  <w:style w:type="character" w:styleId="1088" w:customStyle="1">
    <w:name w:val="批注主题 字符"/>
    <w:basedOn w:val="1087"/>
    <w:link w:val="741"/>
    <w:uiPriority w:val="99"/>
    <w:semiHidden/>
    <w:qFormat/>
    <w:rPr>
      <w:b/>
      <w:bCs/>
      <w:sz w:val="21"/>
      <w:szCs w:val="24"/>
    </w:rPr>
  </w:style>
  <w:style w:type="paragraph" w:styleId="1089" w:customStyle="1">
    <w:name w:val="修订1"/>
    <w:hidden/>
    <w:uiPriority w:val="99"/>
    <w:semiHidden/>
    <w:qFormat/>
    <w:rPr>
      <w:rFonts w:hint="default" w:ascii="Times New Roman" w:hAnsi="Times New Roman" w:eastAsia="宋体" w:cs="Times New Roman"/>
      <w:sz w:val="21"/>
      <w:szCs w:val="24"/>
      <w:lang w:val="en-US" w:eastAsia="zh-CN" w:bidi="ar-SA"/>
    </w:rPr>
  </w:style>
  <w:style w:type="paragraph" w:styleId="1090" w:customStyle="1">
    <w:name w:val="表格样式"/>
    <w:basedOn w:val="701"/>
    <w:next w:val="701"/>
    <w:uiPriority w:val="0"/>
    <w:qFormat/>
    <w:pPr>
      <w:jc w:val="left"/>
      <w:spacing w:line="240" w:lineRule="atLeast"/>
    </w:pPr>
    <w:rPr>
      <w:rFonts w:ascii="Calibri" w:hAnsi="Calibri" w:eastAsia="仿宋_GB2312"/>
      <w:sz w:val="20"/>
      <w:szCs w:val="21"/>
    </w:rPr>
  </w:style>
  <w:style w:type="character" w:styleId="1091" w:customStyle="1">
    <w:name w:val="offer-attr-item-value"/>
    <w:basedOn w:val="711"/>
    <w:uiPriority w:val="0"/>
    <w:qFormat/>
  </w:style>
  <w:style w:type="character" w:styleId="1092" w:customStyle="1">
    <w:name w:val="propnametext"/>
    <w:basedOn w:val="711"/>
    <w:uiPriority w:val="0"/>
    <w:qFormat/>
  </w:style>
  <w:style w:type="paragraph" w:styleId="1093" w:customStyle="1">
    <w:name w:val="样式2"/>
    <w:basedOn w:val="718"/>
    <w:uiPriority w:val="0"/>
    <w:qFormat/>
    <w:pPr>
      <w:spacing w:after="0"/>
    </w:pPr>
    <w:rPr>
      <w:rFonts w:ascii="宋体" w:hAnsi="宋体"/>
      <w:b/>
      <w:sz w:val="24"/>
      <w:szCs w:val="24"/>
    </w:rPr>
  </w:style>
  <w:style w:type="paragraph" w:styleId="1094" w:customStyle="1">
    <w:name w:val="Table Paragraph"/>
    <w:basedOn w:val="701"/>
    <w:uiPriority w:val="1"/>
    <w:qFormat/>
    <w:pPr>
      <w:jc w:val="left"/>
    </w:pPr>
    <w:rPr>
      <w:rFonts w:ascii="宋体" w:hAnsi="宋体" w:cs="宋体"/>
      <w:sz w:val="22"/>
      <w:szCs w:val="22"/>
      <w:lang w:val="zh-CN" w:bidi="zh-CN"/>
    </w:rPr>
  </w:style>
  <w:style w:type="paragraph" w:styleId="1095" w:customStyle="1">
    <w:name w:val="列表段落1"/>
    <w:basedOn w:val="701"/>
    <w:uiPriority w:val="1"/>
    <w:qFormat/>
    <w:pPr>
      <w:ind w:firstLine="420"/>
    </w:pPr>
  </w:style>
  <w:style w:type="paragraph" w:styleId="1096" w:customStyle="1">
    <w:name w:val="纯文本2"/>
    <w:basedOn w:val="701"/>
    <w:uiPriority w:val="0"/>
    <w:qFormat/>
    <w:rPr>
      <w:rFonts w:ascii="宋体" w:hAnsi="Courier New"/>
      <w:sz w:val="28"/>
    </w:rPr>
  </w:style>
  <w:style w:type="paragraph" w:styleId="1097" w:customStyle="1">
    <w:name w:val="彩色列表1"/>
    <w:basedOn w:val="701"/>
    <w:uiPriority w:val="0"/>
    <w:qFormat/>
    <w:pPr>
      <w:ind w:firstLine="420"/>
    </w:pPr>
  </w:style>
  <w:style w:type="numbering" w:styleId="14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jpg"/><Relationship Id="rId19" Type="http://schemas.openxmlformats.org/officeDocument/2006/relationships/image" Target="media/image6.pn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高曼</cp:lastModifiedBy>
  <cp:revision>77</cp:revision>
  <dcterms:created xsi:type="dcterms:W3CDTF">2022-07-12T07:32:00Z</dcterms:created>
  <dcterms:modified xsi:type="dcterms:W3CDTF">2025-11-04T05:44:48Z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2052-12.1.0.23542</vt:lpwstr>
  </property>
  <property fmtid="{D5CDD505-2E9C-101B-9397-08002B2CF9AE}" pid="4" name="ICV">
    <vt:lpwstr>421E39A3B47545F8A1DF948B47886951_13</vt:lpwstr>
  </property>
</Properties>
</file>